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27E3" w14:textId="3724876B" w:rsidR="00EE12C6" w:rsidRPr="0028417C" w:rsidRDefault="008C72A8" w:rsidP="00A13266">
      <w:pPr>
        <w:rPr>
          <w:rFonts w:cs="Segoe UI"/>
        </w:rPr>
      </w:pPr>
      <w:r w:rsidRPr="0028417C">
        <w:rPr>
          <w:rFonts w:ascii="Times New Roman" w:hAnsi="Times New Roman"/>
          <w:noProof/>
          <w:szCs w:val="24"/>
          <w:lang w:eastAsia="fr-C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28D7FAB" wp14:editId="5E249E60">
                <wp:simplePos x="0" y="0"/>
                <wp:positionH relativeFrom="column">
                  <wp:posOffset>3756660</wp:posOffset>
                </wp:positionH>
                <wp:positionV relativeFrom="paragraph">
                  <wp:posOffset>7980045</wp:posOffset>
                </wp:positionV>
                <wp:extent cx="3321050" cy="807720"/>
                <wp:effectExtent l="0" t="0" r="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807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375C4" w14:textId="68615DDE" w:rsidR="00C47FD0" w:rsidRDefault="00C47FD0" w:rsidP="0050165D">
                            <w:pPr>
                              <w:jc w:val="right"/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 xml:space="preserve">Service </w:t>
                            </w:r>
                            <w:proofErr w:type="spellStart"/>
                            <w:r w:rsidR="00EE3ED4"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>d’aménagement</w:t>
                            </w:r>
                            <w:proofErr w:type="spellEnd"/>
                          </w:p>
                          <w:p w14:paraId="04C61751" w14:textId="599AC957" w:rsidR="00C47FD0" w:rsidRPr="005A41FD" w:rsidRDefault="00A732CF" w:rsidP="0050165D">
                            <w:pPr>
                              <w:jc w:val="right"/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>x</w:t>
                            </w:r>
                            <w:r w:rsidR="00395C10"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 w:rsidR="00395C10"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>juin</w:t>
                            </w:r>
                            <w:proofErr w:type="spellEnd"/>
                            <w:r w:rsidR="00C47FD0"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 xml:space="preserve"> 202</w:t>
                            </w:r>
                            <w:r w:rsidR="00D53FEF">
                              <w:rPr>
                                <w:rFonts w:asciiTheme="minorHAnsi" w:hAnsiTheme="minorHAnsi" w:cs="Tahoma"/>
                                <w:b/>
                                <w:color w:val="CC7315"/>
                                <w:sz w:val="40"/>
                                <w:lang w:val="en-C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D7FA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5.8pt;margin-top:628.35pt;width:261.5pt;height:63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" filled="f" stroked="f">
                <v:textbox>
                  <w:txbxContent>
                    <w:p w14:paraId="602375C4" w14:textId="68615DDE" w:rsidR="00C47FD0" w:rsidRDefault="00C47FD0" w:rsidP="0050165D">
                      <w:pPr>
                        <w:jc w:val="right"/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 xml:space="preserve">Service </w:t>
                      </w:r>
                      <w:proofErr w:type="spellStart"/>
                      <w:r w:rsidR="00EE3ED4"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>d’aménagement</w:t>
                      </w:r>
                      <w:proofErr w:type="spellEnd"/>
                    </w:p>
                    <w:p w14:paraId="04C61751" w14:textId="599AC957" w:rsidR="00C47FD0" w:rsidRPr="005A41FD" w:rsidRDefault="00A732CF" w:rsidP="0050165D">
                      <w:pPr>
                        <w:jc w:val="right"/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>x</w:t>
                      </w:r>
                      <w:r w:rsidR="00395C10"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 xml:space="preserve"> </w:t>
                      </w:r>
                      <w:proofErr w:type="spellStart"/>
                      <w:r w:rsidR="00395C10"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>juin</w:t>
                      </w:r>
                      <w:proofErr w:type="spellEnd"/>
                      <w:r w:rsidR="00C47FD0"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 xml:space="preserve"> 202</w:t>
                      </w:r>
                      <w:r w:rsidR="00D53FEF">
                        <w:rPr>
                          <w:rFonts w:asciiTheme="minorHAnsi" w:hAnsiTheme="minorHAnsi" w:cs="Tahoma"/>
                          <w:b/>
                          <w:color w:val="CC7315"/>
                          <w:sz w:val="40"/>
                          <w:lang w:val="en-CA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4056" w:rsidRPr="0028417C">
        <w:rPr>
          <w:noProof/>
          <w:lang w:eastAsia="fr-CA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99AC39A" wp14:editId="040E0F2E">
                <wp:simplePos x="0" y="0"/>
                <wp:positionH relativeFrom="margin">
                  <wp:posOffset>2146300</wp:posOffset>
                </wp:positionH>
                <wp:positionV relativeFrom="paragraph">
                  <wp:posOffset>4018280</wp:posOffset>
                </wp:positionV>
                <wp:extent cx="472440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35D2E" w14:textId="5163BFFE" w:rsidR="00C47FD0" w:rsidRDefault="00C47FD0" w:rsidP="00E12169">
                            <w:pPr>
                              <w:jc w:val="center"/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  <w:t>Suivi de la mise en œuvre du plan de gestion des matières résiduelles (PGMR)</w:t>
                            </w:r>
                          </w:p>
                          <w:p w14:paraId="2F642007" w14:textId="50B215ED" w:rsidR="00395C10" w:rsidRDefault="00C47FD0" w:rsidP="00395C10">
                            <w:pPr>
                              <w:jc w:val="center"/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  <w:t xml:space="preserve">RAPPORT </w:t>
                            </w:r>
                            <w:r w:rsidR="00494B74"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  <w:t>ANNUEL</w:t>
                            </w:r>
                          </w:p>
                          <w:p w14:paraId="7AC96131" w14:textId="45991CCC" w:rsidR="00C47FD0" w:rsidRDefault="00C47FD0" w:rsidP="00E12169">
                            <w:pPr>
                              <w:jc w:val="center"/>
                            </w:pPr>
                            <w:r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  <w:t>202</w:t>
                            </w:r>
                            <w:r w:rsidR="00A732CF">
                              <w:rPr>
                                <w:rFonts w:cs="Tahoma"/>
                                <w:b/>
                                <w:color w:val="A0C845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9AC39A" id="_x0000_s1027" type="#_x0000_t202" style="position:absolute;margin-left:169pt;margin-top:316.4pt;width:372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" filled="f" stroked="f">
                <v:textbox style="mso-fit-shape-to-text:t">
                  <w:txbxContent>
                    <w:p w14:paraId="1EC35D2E" w14:textId="5163BFFE" w:rsidR="00C47FD0" w:rsidRDefault="00C47FD0" w:rsidP="00E12169">
                      <w:pPr>
                        <w:jc w:val="center"/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</w:pPr>
                      <w:r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  <w:t>Suivi de la mise en œuvre du plan de gestion des matières résiduelles (PGMR)</w:t>
                      </w:r>
                    </w:p>
                    <w:p w14:paraId="2F642007" w14:textId="50B215ED" w:rsidR="00395C10" w:rsidRDefault="00C47FD0" w:rsidP="00395C10">
                      <w:pPr>
                        <w:jc w:val="center"/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</w:pPr>
                      <w:r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  <w:t xml:space="preserve">RAPPORT </w:t>
                      </w:r>
                      <w:r w:rsidR="00494B74"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  <w:t>ANNUEL</w:t>
                      </w:r>
                    </w:p>
                    <w:p w14:paraId="7AC96131" w14:textId="45991CCC" w:rsidR="00C47FD0" w:rsidRDefault="00C47FD0" w:rsidP="00E12169">
                      <w:pPr>
                        <w:jc w:val="center"/>
                      </w:pPr>
                      <w:r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  <w:t>202</w:t>
                      </w:r>
                      <w:r w:rsidR="00A732CF">
                        <w:rPr>
                          <w:rFonts w:cs="Tahoma"/>
                          <w:b/>
                          <w:color w:val="A0C845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4056" w:rsidRPr="0028417C">
        <w:rPr>
          <w:rFonts w:cs="Segoe UI"/>
          <w:noProof/>
          <w:lang w:eastAsia="fr-CA"/>
        </w:rPr>
        <w:drawing>
          <wp:anchor distT="0" distB="0" distL="114300" distR="114300" simplePos="0" relativeHeight="251660288" behindDoc="0" locked="0" layoutInCell="1" allowOverlap="1" wp14:anchorId="28FC2CF6" wp14:editId="40EB7515">
            <wp:simplePos x="0" y="0"/>
            <wp:positionH relativeFrom="margin">
              <wp:posOffset>2362200</wp:posOffset>
            </wp:positionH>
            <wp:positionV relativeFrom="paragraph">
              <wp:posOffset>2534202</wp:posOffset>
            </wp:positionV>
            <wp:extent cx="4115435" cy="1615440"/>
            <wp:effectExtent l="0" t="0" r="0" b="381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35" cy="161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646" w:rsidRPr="0028417C">
        <w:rPr>
          <w:b/>
          <w:bCs/>
          <w:noProof/>
          <w:sz w:val="72"/>
          <w:szCs w:val="72"/>
          <w:lang w:eastAsia="fr-CA"/>
        </w:rPr>
        <w:drawing>
          <wp:anchor distT="0" distB="0" distL="114300" distR="114300" simplePos="0" relativeHeight="251658240" behindDoc="1" locked="0" layoutInCell="1" allowOverlap="1" wp14:anchorId="65D4B2FE" wp14:editId="18275E86">
            <wp:simplePos x="0" y="0"/>
            <wp:positionH relativeFrom="margin">
              <wp:posOffset>-5516088</wp:posOffset>
            </wp:positionH>
            <wp:positionV relativeFrom="paragraph">
              <wp:posOffset>-1404026</wp:posOffset>
            </wp:positionV>
            <wp:extent cx="4115435" cy="1615440"/>
            <wp:effectExtent l="0" t="0" r="0" b="381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35" cy="161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646" w:rsidRPr="0028417C">
        <w:rPr>
          <w:b/>
          <w:bCs/>
          <w:noProof/>
          <w:sz w:val="72"/>
          <w:szCs w:val="72"/>
          <w:lang w:eastAsia="fr-CA"/>
        </w:rPr>
        <w:drawing>
          <wp:anchor distT="0" distB="0" distL="114300" distR="114300" simplePos="0" relativeHeight="251656192" behindDoc="1" locked="0" layoutInCell="1" allowOverlap="1" wp14:anchorId="4576ACDC" wp14:editId="7FF084C4">
            <wp:simplePos x="0" y="0"/>
            <wp:positionH relativeFrom="column">
              <wp:posOffset>-5515173</wp:posOffset>
            </wp:positionH>
            <wp:positionV relativeFrom="paragraph">
              <wp:posOffset>-1403160</wp:posOffset>
            </wp:positionV>
            <wp:extent cx="10912475" cy="12034520"/>
            <wp:effectExtent l="0" t="0" r="317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2475" cy="1203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5219267"/>
      <w:bookmarkEnd w:id="0"/>
      <w:r w:rsidR="00EE12C6" w:rsidRPr="0028417C">
        <w:rPr>
          <w:rFonts w:cs="Segoe UI"/>
        </w:rPr>
        <w:br w:type="page"/>
      </w:r>
    </w:p>
    <w:p w14:paraId="7098F8AB" w14:textId="77777777" w:rsidR="00DE09D7" w:rsidRPr="0028417C" w:rsidRDefault="00DE09D7" w:rsidP="00A13266">
      <w:pPr>
        <w:sectPr w:rsidR="00DE09D7" w:rsidRPr="0028417C" w:rsidSect="00EE12C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276" w:right="720" w:bottom="720" w:left="720" w:header="425" w:footer="295" w:gutter="0"/>
          <w:cols w:space="708"/>
          <w:titlePg/>
          <w:docGrid w:linePitch="360"/>
        </w:sectPr>
      </w:pPr>
    </w:p>
    <w:p w14:paraId="36338265" w14:textId="126671B6" w:rsidR="00574887" w:rsidRPr="0028417C" w:rsidRDefault="00574887" w:rsidP="00574887">
      <w:pPr>
        <w:spacing w:after="160"/>
        <w:jc w:val="both"/>
      </w:pPr>
    </w:p>
    <w:p w14:paraId="7F24FC19" w14:textId="48E858FF" w:rsidR="00395C10" w:rsidRPr="0028417C" w:rsidRDefault="00395C10" w:rsidP="00574887">
      <w:pPr>
        <w:spacing w:after="160"/>
        <w:jc w:val="both"/>
      </w:pPr>
    </w:p>
    <w:p w14:paraId="14AB09AD" w14:textId="77777777" w:rsidR="00395C10" w:rsidRPr="0028417C" w:rsidRDefault="00395C10" w:rsidP="00574887">
      <w:pPr>
        <w:spacing w:after="160"/>
        <w:jc w:val="both"/>
      </w:pPr>
    </w:p>
    <w:p w14:paraId="2256F796" w14:textId="65B0B1BA" w:rsidR="00574887" w:rsidRPr="0028417C" w:rsidRDefault="00574887" w:rsidP="00574887">
      <w:pPr>
        <w:pStyle w:val="Style1"/>
        <w:numPr>
          <w:ilvl w:val="0"/>
          <w:numId w:val="0"/>
        </w:numPr>
        <w:ind w:left="1134" w:hanging="567"/>
      </w:pPr>
      <w:bookmarkStart w:id="7" w:name="_Toc61949173"/>
      <w:r w:rsidRPr="0028417C">
        <w:t>Principales réalisations de l’année 202</w:t>
      </w:r>
      <w:bookmarkEnd w:id="7"/>
      <w:r w:rsidR="00A732CF">
        <w:t>4</w:t>
      </w:r>
    </w:p>
    <w:p w14:paraId="2EAB20B7" w14:textId="2D245D58" w:rsidR="006C66D8" w:rsidRPr="0028417C" w:rsidRDefault="006C66D8" w:rsidP="006C66D8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 w:rsidRPr="0028417C">
        <w:t>Poursuite de la création d’I.S.É. selon les besoins des municipalités :</w:t>
      </w:r>
    </w:p>
    <w:p w14:paraId="0885DE20" w14:textId="7507F512" w:rsidR="006C66D8" w:rsidRDefault="006C66D8" w:rsidP="00492862">
      <w:pPr>
        <w:pStyle w:val="Paragraphedeliste"/>
        <w:numPr>
          <w:ilvl w:val="0"/>
          <w:numId w:val="6"/>
        </w:numPr>
        <w:spacing w:after="160"/>
        <w:jc w:val="both"/>
      </w:pPr>
      <w:r w:rsidRPr="0028417C">
        <w:t>Publications Facebook (multiple</w:t>
      </w:r>
      <w:r w:rsidR="00AE29B8">
        <w:t>s</w:t>
      </w:r>
      <w:r w:rsidRPr="0028417C">
        <w:t>) portant sur le compostage, le bac brun et les matières résiduelles</w:t>
      </w:r>
      <w:r w:rsidR="00AE29B8">
        <w:t>;</w:t>
      </w:r>
    </w:p>
    <w:p w14:paraId="32419E92" w14:textId="44B1BD09" w:rsidR="005D7F80" w:rsidRDefault="005D7F80" w:rsidP="00492862">
      <w:pPr>
        <w:pStyle w:val="Paragraphedeliste"/>
        <w:numPr>
          <w:ilvl w:val="0"/>
          <w:numId w:val="6"/>
        </w:numPr>
        <w:spacing w:after="160"/>
        <w:jc w:val="both"/>
      </w:pPr>
      <w:r>
        <w:t>Mise en place d</w:t>
      </w:r>
      <w:r w:rsidR="005B76EA">
        <w:t>u</w:t>
      </w:r>
      <w:r>
        <w:t xml:space="preserve"> concours </w:t>
      </w:r>
      <w:r w:rsidR="005B76EA" w:rsidRPr="005B76EA">
        <w:rPr>
          <w:i/>
          <w:iCs/>
        </w:rPr>
        <w:t>Adopte le bac brun!</w:t>
      </w:r>
      <w:r w:rsidR="005B76EA">
        <w:t xml:space="preserve"> </w:t>
      </w:r>
      <w:r>
        <w:t>pour promouvoir les bonnes habitudes de compost sur le territoire de la MRC</w:t>
      </w:r>
    </w:p>
    <w:p w14:paraId="4C2FEBCA" w14:textId="6E050A09" w:rsidR="005D7F80" w:rsidRDefault="00EB45D5" w:rsidP="00492862">
      <w:pPr>
        <w:pStyle w:val="Paragraphedeliste"/>
        <w:numPr>
          <w:ilvl w:val="0"/>
          <w:numId w:val="6"/>
        </w:numPr>
        <w:spacing w:after="160"/>
        <w:jc w:val="both"/>
      </w:pPr>
      <w:r>
        <w:t>Création du programme scolaire 5R et présentation de 3 ateliers dans 6 classes de 5</w:t>
      </w:r>
      <w:r w:rsidRPr="00EB45D5">
        <w:rPr>
          <w:vertAlign w:val="superscript"/>
        </w:rPr>
        <w:t>e</w:t>
      </w:r>
      <w:r>
        <w:t xml:space="preserve"> et 6</w:t>
      </w:r>
      <w:r w:rsidRPr="00EB45D5">
        <w:rPr>
          <w:vertAlign w:val="superscript"/>
        </w:rPr>
        <w:t>e</w:t>
      </w:r>
      <w:r>
        <w:t xml:space="preserve"> année du primaire (total de 18 présentations) pour l’année scolaire 2024/25</w:t>
      </w:r>
    </w:p>
    <w:p w14:paraId="7F6AB568" w14:textId="627BB8A3" w:rsidR="00901F03" w:rsidRDefault="00901F03" w:rsidP="00492862">
      <w:pPr>
        <w:pStyle w:val="Paragraphedeliste"/>
        <w:numPr>
          <w:ilvl w:val="0"/>
          <w:numId w:val="6"/>
        </w:numPr>
        <w:spacing w:after="160"/>
        <w:jc w:val="both"/>
      </w:pPr>
      <w:r>
        <w:t xml:space="preserve">Formation citoyenne sur le compostage dans </w:t>
      </w:r>
      <w:r w:rsidR="006E7E89">
        <w:t>une</w:t>
      </w:r>
      <w:r>
        <w:t xml:space="preserve"> municipalité</w:t>
      </w:r>
      <w:r w:rsidR="00AE29B8">
        <w:t>.</w:t>
      </w:r>
    </w:p>
    <w:p w14:paraId="0F5FAAB6" w14:textId="3FDA2541" w:rsidR="005B76EA" w:rsidRDefault="005B76EA" w:rsidP="00492862">
      <w:pPr>
        <w:pStyle w:val="Paragraphedeliste"/>
        <w:numPr>
          <w:ilvl w:val="0"/>
          <w:numId w:val="6"/>
        </w:numPr>
        <w:spacing w:after="160"/>
        <w:jc w:val="both"/>
      </w:pPr>
      <w:r>
        <w:t>Installation d’un kiosque d’information sut le compostage au centre d’achat d’Amos</w:t>
      </w:r>
    </w:p>
    <w:p w14:paraId="0971EE48" w14:textId="0C5DE6A4" w:rsidR="00E0399A" w:rsidRDefault="005D7F80" w:rsidP="00492862">
      <w:pPr>
        <w:pStyle w:val="Paragraphedeliste"/>
        <w:numPr>
          <w:ilvl w:val="0"/>
          <w:numId w:val="6"/>
        </w:numPr>
        <w:spacing w:after="160"/>
        <w:jc w:val="both"/>
      </w:pPr>
      <w:r w:rsidRPr="005D7F80">
        <w:t>Présence à 6 activités de distribution de compost</w:t>
      </w:r>
    </w:p>
    <w:p w14:paraId="2399E107" w14:textId="77777777" w:rsidR="00E0399A" w:rsidRPr="0028417C" w:rsidRDefault="00E0399A" w:rsidP="00E0399A">
      <w:pPr>
        <w:pStyle w:val="Paragraphedeliste"/>
        <w:spacing w:after="160"/>
        <w:ind w:left="1287"/>
        <w:jc w:val="both"/>
      </w:pPr>
    </w:p>
    <w:p w14:paraId="785323D0" w14:textId="1B7375F0" w:rsidR="00813ACE" w:rsidRDefault="00813ACE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>Implantation de service de collecte de matière organique a la seule municipalité manquante</w:t>
      </w:r>
      <w:r w:rsidR="008A2A48">
        <w:t>.</w:t>
      </w:r>
    </w:p>
    <w:p w14:paraId="29FF17CC" w14:textId="4CD090E3" w:rsidR="00E0399A" w:rsidRDefault="00E0399A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 xml:space="preserve">Relance du comité de CSPGMR (2 </w:t>
      </w:r>
      <w:r w:rsidR="00EB45D5">
        <w:t>rencontres</w:t>
      </w:r>
      <w:r>
        <w:t xml:space="preserve"> en 20</w:t>
      </w:r>
      <w:r w:rsidR="0007068A">
        <w:t>2</w:t>
      </w:r>
      <w:r>
        <w:t>4)</w:t>
      </w:r>
      <w:r w:rsidR="00EB45D5">
        <w:t>.</w:t>
      </w:r>
    </w:p>
    <w:p w14:paraId="47B34801" w14:textId="7989183B" w:rsidR="00CC5BAD" w:rsidRDefault="00CC5BAD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 xml:space="preserve">Mise en place du </w:t>
      </w:r>
      <w:r w:rsidR="005B662A">
        <w:t>magasin</w:t>
      </w:r>
      <w:r>
        <w:t xml:space="preserve"> </w:t>
      </w:r>
      <w:r w:rsidR="005B662A">
        <w:t>pour la récupération de certains matériaux à</w:t>
      </w:r>
      <w:r>
        <w:t xml:space="preserve"> l’écocentre </w:t>
      </w:r>
      <w:r w:rsidR="005B662A">
        <w:t>d’Amos</w:t>
      </w:r>
      <w:r w:rsidR="008A2A48">
        <w:t>.</w:t>
      </w:r>
    </w:p>
    <w:p w14:paraId="1184CF81" w14:textId="041C3A62" w:rsidR="005B76EA" w:rsidRDefault="005B76EA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 xml:space="preserve">Intégration de la MRC sur le comité environnementale du festival H2O </w:t>
      </w:r>
      <w:r w:rsidRPr="005B76EA">
        <w:t>pour les accompagner dans leur pratique écoresponsable.</w:t>
      </w:r>
    </w:p>
    <w:p w14:paraId="20BF50DD" w14:textId="3F6741F9" w:rsidR="00EB45D5" w:rsidRPr="005B76EA" w:rsidRDefault="00EB45D5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rPr>
          <w:rFonts w:ascii="Calibri Light" w:hAnsi="Calibri Light" w:cs="Calibri Light"/>
          <w:szCs w:val="24"/>
        </w:rPr>
        <w:t>Compilation des données de tonnage des dernières années des ordure</w:t>
      </w:r>
      <w:r w:rsidR="00270E34">
        <w:rPr>
          <w:rFonts w:ascii="Calibri Light" w:hAnsi="Calibri Light" w:cs="Calibri Light"/>
          <w:szCs w:val="24"/>
        </w:rPr>
        <w:t>s</w:t>
      </w:r>
      <w:r>
        <w:rPr>
          <w:rFonts w:ascii="Calibri Light" w:hAnsi="Calibri Light" w:cs="Calibri Light"/>
          <w:szCs w:val="24"/>
        </w:rPr>
        <w:t>, du recyclage et de la matière organique.</w:t>
      </w:r>
    </w:p>
    <w:p w14:paraId="4DCD1EE2" w14:textId="1527AFE8" w:rsidR="005B76EA" w:rsidRPr="00EE3ED4" w:rsidRDefault="005B76EA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>D</w:t>
      </w:r>
      <w:r w:rsidRPr="005B76EA">
        <w:t>éveloppement d’une stratégie pour le compostage des ICI et accompagnement de certains</w:t>
      </w:r>
      <w:r w:rsidR="004B0933">
        <w:t xml:space="preserve"> d’entre eux</w:t>
      </w:r>
      <w:r w:rsidRPr="005B76EA">
        <w:t>.</w:t>
      </w:r>
    </w:p>
    <w:p w14:paraId="4D039997" w14:textId="2C0A80E2" w:rsidR="00574887" w:rsidRPr="0028417C" w:rsidRDefault="006C66D8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 w:rsidRPr="0028417C">
        <w:t>Maintien des services offerts par les municipalités.</w:t>
      </w:r>
    </w:p>
    <w:p w14:paraId="48D203BE" w14:textId="24435D76" w:rsidR="00FE355E" w:rsidRDefault="00FE355E" w:rsidP="00395C10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 w:rsidRPr="0028417C">
        <w:t>Maintien des services de réponses/conseils aux questionnements des citoyens, municipalités et ICI.</w:t>
      </w:r>
    </w:p>
    <w:p w14:paraId="2A0EE47F" w14:textId="2033AD39" w:rsidR="00045D95" w:rsidRPr="0028417C" w:rsidRDefault="00045D95" w:rsidP="00045D95">
      <w:pPr>
        <w:pStyle w:val="Paragraphedeliste"/>
        <w:numPr>
          <w:ilvl w:val="0"/>
          <w:numId w:val="2"/>
        </w:numPr>
        <w:spacing w:after="160"/>
        <w:ind w:left="900"/>
        <w:contextualSpacing w:val="0"/>
        <w:jc w:val="both"/>
      </w:pPr>
      <w:r>
        <w:t>Développement d’une stratégie pour le compostage des ici</w:t>
      </w:r>
      <w:r w:rsidR="008A2A48">
        <w:t xml:space="preserve"> et accompagnement de certain.</w:t>
      </w:r>
    </w:p>
    <w:p w14:paraId="2056F9D4" w14:textId="2AC21C8A" w:rsidR="00A8453B" w:rsidRDefault="00A8453B" w:rsidP="006E7E89">
      <w:pPr>
        <w:spacing w:after="160"/>
        <w:ind w:left="540"/>
        <w:jc w:val="both"/>
      </w:pPr>
    </w:p>
    <w:p w14:paraId="511F2E70" w14:textId="77777777" w:rsidR="00A8453B" w:rsidRDefault="00A8453B" w:rsidP="00A8453B">
      <w:pPr>
        <w:spacing w:after="160"/>
        <w:jc w:val="both"/>
      </w:pPr>
    </w:p>
    <w:p w14:paraId="7ABE816A" w14:textId="77777777" w:rsidR="00C538D5" w:rsidRPr="0028417C" w:rsidRDefault="00C538D5" w:rsidP="003C5DF4">
      <w:pPr>
        <w:spacing w:after="160"/>
        <w:jc w:val="both"/>
        <w:sectPr w:rsidR="00C538D5" w:rsidRPr="0028417C" w:rsidSect="00C53B7A">
          <w:footerReference w:type="default" r:id="rId19"/>
          <w:headerReference w:type="first" r:id="rId20"/>
          <w:footerReference w:type="first" r:id="rId21"/>
          <w:pgSz w:w="12240" w:h="15840" w:code="1"/>
          <w:pgMar w:top="1276" w:right="1183" w:bottom="993" w:left="720" w:header="425" w:footer="295" w:gutter="0"/>
          <w:pgNumType w:start="1"/>
          <w:cols w:space="708"/>
          <w:titlePg/>
          <w:docGrid w:linePitch="360"/>
        </w:sectPr>
      </w:pPr>
    </w:p>
    <w:p w14:paraId="393B11FD" w14:textId="1996853E" w:rsidR="00C17EE1" w:rsidRPr="0028417C" w:rsidRDefault="00C17EE1" w:rsidP="00C17EE1">
      <w:pPr>
        <w:pStyle w:val="Style1"/>
        <w:numPr>
          <w:ilvl w:val="0"/>
          <w:numId w:val="0"/>
        </w:numPr>
        <w:ind w:left="1134" w:hanging="567"/>
      </w:pPr>
      <w:bookmarkStart w:id="8" w:name="_Hlk168393205"/>
      <w:r w:rsidRPr="0028417C">
        <w:lastRenderedPageBreak/>
        <w:t>Tableau de suivi</w:t>
      </w:r>
      <w:r w:rsidR="007A1697">
        <w:t xml:space="preserve"> pour l’année 2023 </w:t>
      </w:r>
      <w:r w:rsidR="00DE2DCE">
        <w:t>de la municipalité régionale de comté d’Abitibi (PGMR 20</w:t>
      </w:r>
      <w:r w:rsidR="008841E3">
        <w:t>23-2030)</w:t>
      </w:r>
    </w:p>
    <w:bookmarkEnd w:id="8"/>
    <w:p w14:paraId="26730711" w14:textId="77777777" w:rsidR="00897F3B" w:rsidRDefault="00897F3B" w:rsidP="002E61CC">
      <w:pPr>
        <w:rPr>
          <w:rFonts w:cstheme="majorHAnsi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2552"/>
        <w:gridCol w:w="3709"/>
        <w:gridCol w:w="1456"/>
        <w:gridCol w:w="1198"/>
        <w:gridCol w:w="625"/>
        <w:gridCol w:w="625"/>
        <w:gridCol w:w="567"/>
        <w:gridCol w:w="647"/>
        <w:gridCol w:w="3221"/>
      </w:tblGrid>
      <w:tr w:rsidR="004D7E8F" w:rsidRPr="0028417C" w14:paraId="1367E9ED" w14:textId="77777777" w:rsidTr="007F5258">
        <w:trPr>
          <w:trHeight w:val="534"/>
          <w:tblHeader/>
        </w:trPr>
        <w:tc>
          <w:tcPr>
            <w:tcW w:w="562" w:type="dxa"/>
            <w:vMerge w:val="restart"/>
            <w:shd w:val="clear" w:color="auto" w:fill="0067B0"/>
            <w:vAlign w:val="center"/>
            <w:hideMark/>
          </w:tcPr>
          <w:p w14:paraId="4085D901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N</w:t>
            </w:r>
            <w:r w:rsidRPr="0028417C">
              <w:rPr>
                <w:rFonts w:eastAsia="Times New Roman" w:cstheme="majorHAnsi"/>
                <w:b/>
                <w:color w:val="FFFFFF"/>
                <w:sz w:val="16"/>
                <w:szCs w:val="16"/>
                <w:lang w:eastAsia="fr-CA"/>
              </w:rPr>
              <w:t>o</w:t>
            </w:r>
          </w:p>
        </w:tc>
        <w:tc>
          <w:tcPr>
            <w:tcW w:w="1843" w:type="dxa"/>
            <w:vMerge w:val="restart"/>
            <w:shd w:val="clear" w:color="auto" w:fill="0067B0"/>
            <w:vAlign w:val="center"/>
            <w:hideMark/>
          </w:tcPr>
          <w:p w14:paraId="69E2DCC5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Mesure</w:t>
            </w:r>
          </w:p>
        </w:tc>
        <w:tc>
          <w:tcPr>
            <w:tcW w:w="2552" w:type="dxa"/>
            <w:vMerge w:val="restart"/>
            <w:shd w:val="clear" w:color="auto" w:fill="0067B0"/>
            <w:vAlign w:val="center"/>
            <w:hideMark/>
          </w:tcPr>
          <w:p w14:paraId="3F3C5080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Description</w:t>
            </w:r>
          </w:p>
        </w:tc>
        <w:tc>
          <w:tcPr>
            <w:tcW w:w="3709" w:type="dxa"/>
            <w:vMerge w:val="restart"/>
            <w:shd w:val="clear" w:color="auto" w:fill="0067B0"/>
          </w:tcPr>
          <w:p w14:paraId="4A63F567" w14:textId="2697CD25" w:rsidR="004D7E8F" w:rsidRDefault="004D7E8F" w:rsidP="004D7E8F">
            <w:pPr>
              <w:spacing w:before="40" w:line="480" w:lineRule="auto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 xml:space="preserve"> </w:t>
            </w:r>
          </w:p>
          <w:p w14:paraId="7692F603" w14:textId="53D91769" w:rsidR="004D7E8F" w:rsidRPr="0028417C" w:rsidRDefault="004D7E8F" w:rsidP="004D7E8F">
            <w:pPr>
              <w:spacing w:before="40" w:line="480" w:lineRule="auto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Action</w:t>
            </w:r>
          </w:p>
        </w:tc>
        <w:tc>
          <w:tcPr>
            <w:tcW w:w="1456" w:type="dxa"/>
            <w:vMerge w:val="restart"/>
            <w:shd w:val="clear" w:color="auto" w:fill="0067B0"/>
            <w:vAlign w:val="center"/>
            <w:hideMark/>
          </w:tcPr>
          <w:p w14:paraId="07E91DAA" w14:textId="4D8EB3C2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Responsabl</w:t>
            </w:r>
            <w:r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e (s)</w:t>
            </w:r>
          </w:p>
        </w:tc>
        <w:tc>
          <w:tcPr>
            <w:tcW w:w="1198" w:type="dxa"/>
            <w:vMerge w:val="restart"/>
            <w:shd w:val="clear" w:color="auto" w:fill="0067B0"/>
            <w:vAlign w:val="center"/>
            <w:hideMark/>
          </w:tcPr>
          <w:p w14:paraId="1523AA19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Échéancier</w:t>
            </w:r>
          </w:p>
        </w:tc>
        <w:tc>
          <w:tcPr>
            <w:tcW w:w="2464" w:type="dxa"/>
            <w:gridSpan w:val="4"/>
            <w:shd w:val="clear" w:color="auto" w:fill="0067B0"/>
            <w:vAlign w:val="center"/>
            <w:hideMark/>
          </w:tcPr>
          <w:p w14:paraId="2270D2F0" w14:textId="2EE9A1F8" w:rsidR="004D7E8F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916A73"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  <w:t>Avancement</w:t>
            </w:r>
          </w:p>
        </w:tc>
        <w:tc>
          <w:tcPr>
            <w:tcW w:w="3221" w:type="dxa"/>
            <w:vMerge w:val="restart"/>
            <w:shd w:val="clear" w:color="auto" w:fill="0067B0"/>
            <w:vAlign w:val="center"/>
            <w:hideMark/>
          </w:tcPr>
          <w:p w14:paraId="269DEBB3" w14:textId="7937C23C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  <w:r w:rsidRPr="0028417C"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  <w:t>Commentaire</w:t>
            </w:r>
          </w:p>
        </w:tc>
      </w:tr>
      <w:tr w:rsidR="004D7E8F" w:rsidRPr="0028417C" w14:paraId="50AE222F" w14:textId="77777777" w:rsidTr="007F5258">
        <w:trPr>
          <w:trHeight w:val="1138"/>
          <w:tblHeader/>
        </w:trPr>
        <w:tc>
          <w:tcPr>
            <w:tcW w:w="562" w:type="dxa"/>
            <w:vMerge/>
            <w:shd w:val="clear" w:color="auto" w:fill="0067B0"/>
            <w:vAlign w:val="center"/>
          </w:tcPr>
          <w:p w14:paraId="703A773D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1843" w:type="dxa"/>
            <w:vMerge/>
            <w:shd w:val="clear" w:color="auto" w:fill="0067B0"/>
            <w:vAlign w:val="center"/>
          </w:tcPr>
          <w:p w14:paraId="0DFD531D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2552" w:type="dxa"/>
            <w:vMerge/>
            <w:shd w:val="clear" w:color="auto" w:fill="0067B0"/>
            <w:vAlign w:val="center"/>
          </w:tcPr>
          <w:p w14:paraId="4A6A49A4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3709" w:type="dxa"/>
            <w:vMerge/>
            <w:shd w:val="clear" w:color="auto" w:fill="0067B0"/>
          </w:tcPr>
          <w:p w14:paraId="0D2E48B0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1456" w:type="dxa"/>
            <w:vMerge/>
            <w:shd w:val="clear" w:color="auto" w:fill="0067B0"/>
            <w:vAlign w:val="center"/>
          </w:tcPr>
          <w:p w14:paraId="6A97E4B4" w14:textId="7EF4B770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1198" w:type="dxa"/>
            <w:vMerge/>
            <w:shd w:val="clear" w:color="auto" w:fill="0067B0"/>
            <w:vAlign w:val="center"/>
          </w:tcPr>
          <w:p w14:paraId="602DBC35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  <w:tc>
          <w:tcPr>
            <w:tcW w:w="625" w:type="dxa"/>
            <w:shd w:val="clear" w:color="auto" w:fill="0067B0"/>
          </w:tcPr>
          <w:p w14:paraId="21EDEB49" w14:textId="5C739BF5" w:rsidR="004D7E8F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</w:pPr>
            <w:r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  <w:t xml:space="preserve">         À venir</w:t>
            </w:r>
          </w:p>
        </w:tc>
        <w:tc>
          <w:tcPr>
            <w:tcW w:w="625" w:type="dxa"/>
            <w:shd w:val="clear" w:color="auto" w:fill="0067B0"/>
            <w:vAlign w:val="center"/>
          </w:tcPr>
          <w:p w14:paraId="100839C5" w14:textId="56DE1C3B" w:rsidR="004D7E8F" w:rsidRPr="00916A73" w:rsidRDefault="004D7E8F" w:rsidP="0097291A">
            <w:pPr>
              <w:spacing w:before="40"/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</w:pPr>
            <w:r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  <w:t>En cours</w:t>
            </w:r>
          </w:p>
        </w:tc>
        <w:tc>
          <w:tcPr>
            <w:tcW w:w="567" w:type="dxa"/>
            <w:shd w:val="clear" w:color="auto" w:fill="0067B0"/>
            <w:vAlign w:val="center"/>
          </w:tcPr>
          <w:p w14:paraId="269CE760" w14:textId="2EEC568B" w:rsidR="004D7E8F" w:rsidRPr="00916A73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</w:pPr>
            <w:proofErr w:type="spellStart"/>
            <w:r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  <w:t>Réu-ssite</w:t>
            </w:r>
            <w:proofErr w:type="spellEnd"/>
          </w:p>
        </w:tc>
        <w:tc>
          <w:tcPr>
            <w:tcW w:w="647" w:type="dxa"/>
            <w:shd w:val="clear" w:color="auto" w:fill="0067B0"/>
            <w:vAlign w:val="center"/>
          </w:tcPr>
          <w:p w14:paraId="559A2FE5" w14:textId="3199BD0F" w:rsidR="004D7E8F" w:rsidRPr="00916A73" w:rsidRDefault="003A60ED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</w:pPr>
            <w:r>
              <w:rPr>
                <w:rFonts w:eastAsia="Times New Roman" w:cstheme="majorHAnsi"/>
                <w:b/>
                <w:color w:val="FFFFFF"/>
                <w:szCs w:val="22"/>
                <w:lang w:eastAsia="fr-CA"/>
              </w:rPr>
              <w:t>En continu</w:t>
            </w:r>
          </w:p>
        </w:tc>
        <w:tc>
          <w:tcPr>
            <w:tcW w:w="3221" w:type="dxa"/>
            <w:vMerge/>
            <w:shd w:val="clear" w:color="auto" w:fill="0067B0"/>
            <w:vAlign w:val="center"/>
          </w:tcPr>
          <w:p w14:paraId="16D05088" w14:textId="77777777" w:rsidR="004D7E8F" w:rsidRPr="0028417C" w:rsidRDefault="004D7E8F" w:rsidP="00AD452D">
            <w:pPr>
              <w:spacing w:before="40"/>
              <w:jc w:val="center"/>
              <w:rPr>
                <w:rFonts w:eastAsia="Times New Roman" w:cstheme="majorHAnsi"/>
                <w:b/>
                <w:color w:val="FFFFFF"/>
                <w:szCs w:val="24"/>
                <w:lang w:eastAsia="fr-CA"/>
              </w:rPr>
            </w:pPr>
          </w:p>
        </w:tc>
      </w:tr>
      <w:tr w:rsidR="004D7E8F" w:rsidRPr="0028417C" w14:paraId="666EBCA9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  <w:hideMark/>
          </w:tcPr>
          <w:p w14:paraId="1485EFE8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1.1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5163B5" w14:textId="2927BD06" w:rsidR="004D7E8F" w:rsidRPr="001C5097" w:rsidRDefault="004D7E8F" w:rsidP="007F5258">
            <w:pPr>
              <w:rPr>
                <w:lang w:eastAsia="fr-CA"/>
              </w:rPr>
            </w:pPr>
            <w:r w:rsidRPr="001C5097">
              <w:rPr>
                <w:lang w:eastAsia="fr-CA"/>
              </w:rPr>
              <w:t>Bonifier les activités de sensibilisation visant à faire connaître à la population les volets de la gestion des matières résiduelles</w:t>
            </w:r>
            <w:r>
              <w:rPr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AB1FAA8" w14:textId="7D57490D" w:rsidR="004D7E8F" w:rsidRPr="0028417C" w:rsidRDefault="004D7E8F" w:rsidP="007F5258">
            <w:pPr>
              <w:rPr>
                <w:lang w:eastAsia="fr-CA"/>
              </w:rPr>
            </w:pPr>
            <w:r>
              <w:rPr>
                <w:lang w:eastAsia="fr-CA"/>
              </w:rPr>
              <w:t>É</w:t>
            </w:r>
            <w:r w:rsidRPr="004F61E7">
              <w:rPr>
                <w:lang w:eastAsia="fr-CA"/>
              </w:rPr>
              <w:t>labor</w:t>
            </w:r>
            <w:r>
              <w:rPr>
                <w:lang w:eastAsia="fr-CA"/>
              </w:rPr>
              <w:t>er annuellement u</w:t>
            </w:r>
            <w:r w:rsidRPr="004F61E7">
              <w:rPr>
                <w:lang w:eastAsia="fr-CA"/>
              </w:rPr>
              <w:t>n plan de communication</w:t>
            </w:r>
            <w:r>
              <w:rPr>
                <w:lang w:eastAsia="fr-CA"/>
              </w:rPr>
              <w:t xml:space="preserve"> </w:t>
            </w:r>
            <w:r w:rsidRPr="004F61E7">
              <w:rPr>
                <w:lang w:eastAsia="fr-CA"/>
              </w:rPr>
              <w:t xml:space="preserve">en collaboration avec le comité de suivi du PGMR pour s’assurer de couvrir de manière proactive et récurrente les thématiques importantes du territoire. </w:t>
            </w:r>
          </w:p>
        </w:tc>
        <w:tc>
          <w:tcPr>
            <w:tcW w:w="3709" w:type="dxa"/>
          </w:tcPr>
          <w:p w14:paraId="528AD264" w14:textId="77777777" w:rsidR="003A60ED" w:rsidRDefault="007F5258" w:rsidP="00492862">
            <w:pPr>
              <w:pStyle w:val="Paragraphedeliste"/>
              <w:numPr>
                <w:ilvl w:val="0"/>
                <w:numId w:val="8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Un plan de communication a été lancé en</w:t>
            </w:r>
            <w:r w:rsidR="003A60ED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2024</w:t>
            </w: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                                               </w:t>
            </w:r>
          </w:p>
          <w:p w14:paraId="6E664E74" w14:textId="0FB94B4F" w:rsidR="007F5258" w:rsidRPr="007F5258" w:rsidRDefault="007F5258" w:rsidP="00492862">
            <w:pPr>
              <w:pStyle w:val="Paragraphedeliste"/>
              <w:numPr>
                <w:ilvl w:val="0"/>
                <w:numId w:val="8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Un aide-mémoire sur les matières acceptées et non acceptées dans le bac brun a été envoyé aux citoyens.</w:t>
            </w:r>
          </w:p>
          <w:p w14:paraId="65DCBC16" w14:textId="15F56077" w:rsidR="007F5258" w:rsidRPr="007F5258" w:rsidRDefault="007F5258" w:rsidP="00492862">
            <w:pPr>
              <w:pStyle w:val="Paragraphedeliste"/>
              <w:numPr>
                <w:ilvl w:val="0"/>
                <w:numId w:val="7"/>
              </w:numPr>
              <w:rPr>
                <w:lang w:eastAsia="fr-CA"/>
              </w:rPr>
            </w:pPr>
            <w:r w:rsidRPr="007F5258">
              <w:rPr>
                <w:lang w:eastAsia="fr-CA"/>
              </w:rPr>
              <w:t xml:space="preserve">34 publications Facebook en lien avec la GMR totalisant 203 629 de couverture et 1353 réactions, commentaires et partages. </w:t>
            </w:r>
          </w:p>
          <w:p w14:paraId="47672A8D" w14:textId="77777777" w:rsidR="004D7E8F" w:rsidRDefault="007F5258" w:rsidP="00492862">
            <w:pPr>
              <w:pStyle w:val="Paragraphedeliste"/>
              <w:numPr>
                <w:ilvl w:val="0"/>
                <w:numId w:val="7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Une formation aux citoyens comptabilisant 13 participants</w:t>
            </w:r>
          </w:p>
          <w:p w14:paraId="040087C4" w14:textId="5F52293E" w:rsidR="0007068A" w:rsidRPr="007F5258" w:rsidRDefault="0007068A" w:rsidP="00492862">
            <w:pPr>
              <w:pStyle w:val="Paragraphedeliste"/>
              <w:numPr>
                <w:ilvl w:val="0"/>
                <w:numId w:val="7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t>Création du programme scolaire 5R et présentation de 3 ateliers dans 6 classes de 5</w:t>
            </w:r>
            <w:r w:rsidRPr="00EB45D5">
              <w:rPr>
                <w:vertAlign w:val="superscript"/>
              </w:rPr>
              <w:t>e</w:t>
            </w:r>
            <w:r>
              <w:t xml:space="preserve"> et 6</w:t>
            </w:r>
            <w:r w:rsidRPr="00EB45D5">
              <w:rPr>
                <w:vertAlign w:val="superscript"/>
              </w:rPr>
              <w:t>e</w:t>
            </w:r>
            <w:r>
              <w:t xml:space="preserve"> année du primaire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58E9BFFE" w14:textId="43A74B4C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  <w:hideMark/>
          </w:tcPr>
          <w:p w14:paraId="0B10BA85" w14:textId="7B7D3779" w:rsidR="004D7E8F" w:rsidRPr="0028417C" w:rsidRDefault="004D7E8F" w:rsidP="00492862">
            <w:pPr>
              <w:pStyle w:val="Paragraphedeliste"/>
              <w:numPr>
                <w:ilvl w:val="0"/>
                <w:numId w:val="3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189D5064" w14:textId="77777777" w:rsidR="004D7E8F" w:rsidRPr="0097291A" w:rsidRDefault="004D7E8F" w:rsidP="004D7E8F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4FB840BF" w14:textId="5271034B" w:rsidR="004D7E8F" w:rsidRPr="0097291A" w:rsidRDefault="004D7E8F" w:rsidP="004D7E8F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286C5249" w14:textId="4B8F45AE" w:rsidR="004D7E8F" w:rsidRPr="0097291A" w:rsidRDefault="004D7E8F" w:rsidP="004D7E8F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3A38BDB6" w14:textId="173446DD" w:rsidR="004D7E8F" w:rsidRPr="0097291A" w:rsidRDefault="003A60ED" w:rsidP="004D7E8F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3221" w:type="dxa"/>
            <w:shd w:val="clear" w:color="auto" w:fill="auto"/>
            <w:vAlign w:val="center"/>
            <w:hideMark/>
          </w:tcPr>
          <w:p w14:paraId="363D3D8B" w14:textId="1417CBC1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</w:tr>
      <w:tr w:rsidR="004D7E8F" w:rsidRPr="0028417C" w14:paraId="26974F44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41487DF4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14DC53" w14:textId="4C780FC0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bookmarkStart w:id="9" w:name="_Hlk134696294"/>
            <w:r w:rsidRPr="00651246">
              <w:rPr>
                <w:rFonts w:eastAsia="Times New Roman" w:cstheme="majorHAnsi"/>
                <w:color w:val="000000"/>
                <w:szCs w:val="22"/>
                <w:lang w:eastAsia="fr-CA"/>
              </w:rPr>
              <w:t>Produire et diffuser annuellement le bilan des services GMR (performance, coûts, revenus)</w:t>
            </w:r>
            <w:bookmarkEnd w:id="9"/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551818" w14:textId="0366FC36" w:rsidR="004D7E8F" w:rsidRPr="0028417C" w:rsidRDefault="004D7E8F" w:rsidP="00797D74">
            <w:pPr>
              <w:rPr>
                <w:rFonts w:eastAsia="Times New Roman" w:cstheme="majorHAnsi"/>
                <w:b/>
                <w:bCs/>
                <w:color w:val="000000"/>
                <w:szCs w:val="22"/>
                <w:u w:val="single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Produire</w:t>
            </w:r>
            <w:r w:rsidRPr="00736BB9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et diffuser </w:t>
            </w:r>
            <w:r w:rsidRPr="00736BB9">
              <w:rPr>
                <w:rFonts w:eastAsia="Times New Roman" w:cstheme="majorHAnsi"/>
                <w:color w:val="000000"/>
                <w:szCs w:val="22"/>
                <w:lang w:eastAsia="fr-CA"/>
              </w:rPr>
              <w:t>annuellement le bilan de mise en œuvre du PGMR dans lequel on retrouve notamment les matières résiduelles générées par municipalité.</w:t>
            </w:r>
          </w:p>
        </w:tc>
        <w:tc>
          <w:tcPr>
            <w:tcW w:w="3709" w:type="dxa"/>
          </w:tcPr>
          <w:p w14:paraId="7A6C9FA7" w14:textId="6C35770A" w:rsidR="004D7E8F" w:rsidRPr="007F5258" w:rsidRDefault="007F5258" w:rsidP="00492862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Un bilan annuel diffusé en 2024 a permis de comparer les données de 2022,2023 et 2024 en ce qui concerne le tonnage de matières organiques, recyclables et celles envoyées à l’enfouissement.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78A368C" w14:textId="236525EC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,</w:t>
            </w: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BA2306D" w14:textId="58DCA667" w:rsidR="004D7E8F" w:rsidRPr="0028417C" w:rsidRDefault="004D7E8F" w:rsidP="00492862">
            <w:pPr>
              <w:pStyle w:val="Paragraphedeliste"/>
              <w:numPr>
                <w:ilvl w:val="0"/>
                <w:numId w:val="3"/>
              </w:numPr>
              <w:ind w:left="0"/>
              <w:rPr>
                <w:rFonts w:eastAsia="Times New Roman" w:cstheme="majorHAnsi"/>
                <w:b/>
                <w:color w:val="000000"/>
                <w:szCs w:val="22"/>
                <w:u w:val="single"/>
                <w:lang w:eastAsia="fr-CA"/>
              </w:rPr>
            </w:pPr>
            <w:r w:rsidRPr="00F60D07"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  <w:r>
              <w:rPr>
                <w:rFonts w:eastAsia="Times New Roman" w:cstheme="majorHAnsi"/>
                <w:b/>
                <w:color w:val="000000"/>
                <w:szCs w:val="22"/>
                <w:u w:val="single"/>
                <w:lang w:eastAsia="fr-CA"/>
              </w:rPr>
              <w:t xml:space="preserve"> </w:t>
            </w: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</w:t>
            </w:r>
          </w:p>
        </w:tc>
        <w:tc>
          <w:tcPr>
            <w:tcW w:w="625" w:type="dxa"/>
          </w:tcPr>
          <w:p w14:paraId="3ACA70D9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7FB07B9E" w14:textId="2071480D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595238A4" w14:textId="700F926D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0C03BEB4" w14:textId="54984157" w:rsidR="004D7E8F" w:rsidRPr="0097291A" w:rsidRDefault="003A60ED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11EE68B0" w14:textId="22D256AF" w:rsidR="004D7E8F" w:rsidRPr="0028417C" w:rsidRDefault="004D7E8F" w:rsidP="00492862">
            <w:pPr>
              <w:pStyle w:val="Paragraphedeliste"/>
              <w:numPr>
                <w:ilvl w:val="0"/>
                <w:numId w:val="4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La mise en œuvre de cette mesure est importante pour suivre la performance du PGMR et sera poursuivie annuellement comme prévu.</w:t>
            </w:r>
          </w:p>
          <w:p w14:paraId="0232E229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  <w:p w14:paraId="751AF78A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</w:tr>
      <w:tr w:rsidR="004D7E8F" w:rsidRPr="0028417C" w14:paraId="0C3083E7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2082237A" w14:textId="28F1E6B6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>1.3</w:t>
            </w:r>
          </w:p>
          <w:p w14:paraId="0F4C29FA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F3045A" w14:textId="5939F544" w:rsidR="004D7E8F" w:rsidRPr="008F05A2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8F05A2">
              <w:rPr>
                <w:rFonts w:eastAsia="Times New Roman" w:cstheme="majorHAnsi"/>
                <w:color w:val="000000"/>
                <w:szCs w:val="22"/>
                <w:lang w:eastAsia="fr-CA"/>
              </w:rPr>
              <w:t>Impliquer les acteurs intéressés par la GMR (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C</w:t>
            </w:r>
            <w:r w:rsidRPr="008F05A2">
              <w:rPr>
                <w:rFonts w:eastAsia="Times New Roman" w:cstheme="majorHAnsi"/>
                <w:color w:val="000000"/>
                <w:szCs w:val="22"/>
                <w:lang w:eastAsia="fr-CA"/>
              </w:rPr>
              <w:t>hambre de commerce, grands générateurs, OBNL) au sein d’une structure permanente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FAFB2A" w14:textId="1F8313B6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I</w:t>
            </w:r>
            <w:r w:rsidRPr="0034541A">
              <w:rPr>
                <w:rFonts w:eastAsia="Times New Roman" w:cstheme="majorHAnsi"/>
                <w:color w:val="000000"/>
                <w:szCs w:val="22"/>
                <w:lang w:eastAsia="fr-CA"/>
              </w:rPr>
              <w:t>mpliquer une large diversité d’acteur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34541A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du territoire,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dont</w:t>
            </w:r>
            <w:r w:rsidRPr="0034541A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les chambres de commerce, grands générateurs et OBNL au sein d’une structure de concertation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0F8B3662" w14:textId="777777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77824781" w14:textId="3435D0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BFE2A7B" w14:textId="2A6ABFA8" w:rsidR="004D7E8F" w:rsidRPr="0028417C" w:rsidRDefault="004D7E8F" w:rsidP="00797D74">
            <w:pPr>
              <w:rPr>
                <w:rFonts w:eastAsia="Times New Roman" w:cstheme="majorHAnsi"/>
                <w:b/>
                <w:color w:val="000000"/>
                <w:szCs w:val="22"/>
                <w:u w:val="single"/>
                <w:lang w:eastAsia="fr-CA"/>
              </w:rPr>
            </w:pPr>
            <w:r w:rsidRPr="00F60D07"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655CE0F7" w14:textId="2A50610D" w:rsidR="004D7E8F" w:rsidRPr="0097291A" w:rsidRDefault="0001084C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3BBAC3BA" w14:textId="68A7E78B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2755972B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50A91C92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4FF885C4" w14:textId="2676D792" w:rsidR="004D7E8F" w:rsidRPr="0028417C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2026</w:t>
            </w:r>
          </w:p>
        </w:tc>
      </w:tr>
      <w:tr w:rsidR="004D7E8F" w:rsidRPr="0028417C" w14:paraId="292D7682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94B94C4" w14:textId="7E6BDBDF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970103" w14:textId="2EDEEDC4" w:rsidR="004D7E8F" w:rsidRPr="005C019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Promouvoir les bonnes pratiques favorisant la réduction à la source.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0EB9D1" w14:textId="7B51B2F4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R</w:t>
            </w:r>
            <w:r w:rsidRPr="005878E6">
              <w:rPr>
                <w:rFonts w:eastAsia="Times New Roman" w:cstheme="majorHAnsi"/>
                <w:color w:val="000000"/>
                <w:szCs w:val="22"/>
                <w:lang w:eastAsia="fr-CA"/>
              </w:rPr>
              <w:t>éaliser différentes campagnes favorisant la réduction à la source de matière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5878E6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résiduelle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5878E6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en mettant notamment l’accent sur le milieu scolaire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483F60B1" w14:textId="777777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6FB45B7" w14:textId="6AB1F636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0AE5F8F" w14:textId="7F9634B0" w:rsidR="004D7E8F" w:rsidRPr="0028417C" w:rsidRDefault="004D7E8F" w:rsidP="00797D74">
            <w:pPr>
              <w:rPr>
                <w:rFonts w:eastAsia="Times New Roman" w:cstheme="majorHAnsi"/>
                <w:b/>
                <w:color w:val="000000"/>
                <w:szCs w:val="22"/>
                <w:u w:val="single"/>
                <w:lang w:eastAsia="fr-CA"/>
              </w:rPr>
            </w:pPr>
            <w:r w:rsidRPr="00F60D07"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2A87D9A5" w14:textId="5A32EBFB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467C9A66" w14:textId="372F3EC5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06F790D0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30203FD1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79E263B" w14:textId="77666AED" w:rsidR="004D7E8F" w:rsidRPr="0028417C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2025</w:t>
            </w:r>
          </w:p>
        </w:tc>
      </w:tr>
      <w:tr w:rsidR="004D7E8F" w:rsidRPr="0028417C" w14:paraId="0502E6A2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10556C7" w14:textId="06F2BB5E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DEF093" w14:textId="5C655D39" w:rsidR="004D7E8F" w:rsidRPr="00236A28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36A28">
              <w:rPr>
                <w:rFonts w:eastAsia="Times New Roman" w:cstheme="majorHAnsi"/>
                <w:color w:val="000000"/>
                <w:szCs w:val="22"/>
                <w:lang w:eastAsia="fr-CA"/>
              </w:rPr>
              <w:t>Mettre en place un programme de réduction du gaspillage alimentaire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C020E8" w14:textId="5665C823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Prévenir le gaspillage alimentaire via un programme de sensibilisation en 2 volets; l’un pour les citoyens et l’autre dédié aux ICI.</w:t>
            </w:r>
          </w:p>
        </w:tc>
        <w:tc>
          <w:tcPr>
            <w:tcW w:w="3709" w:type="dxa"/>
          </w:tcPr>
          <w:p w14:paraId="71C17396" w14:textId="777777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70BB0E2A" w14:textId="426D2F6E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31B4FB4" w14:textId="3614DB6B" w:rsidR="004D7E8F" w:rsidRPr="00F60D07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F60D07"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1E4E82B3" w14:textId="6E93DE30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5B6AD8D7" w14:textId="38B54CC2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2D66262C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21413FD2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27E82D" w14:textId="1DA2F043" w:rsidR="004D7E8F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2025</w:t>
            </w:r>
          </w:p>
        </w:tc>
      </w:tr>
      <w:tr w:rsidR="004D7E8F" w:rsidRPr="0028417C" w14:paraId="074EF5EA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67FF3BDE" w14:textId="228D0231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A8B294" w14:textId="75777929" w:rsidR="004D7E8F" w:rsidRPr="00202111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02111">
              <w:rPr>
                <w:rFonts w:eastAsia="Times New Roman" w:cstheme="majorHAnsi"/>
                <w:color w:val="000000"/>
                <w:szCs w:val="22"/>
                <w:lang w:eastAsia="fr-CA"/>
              </w:rPr>
              <w:t>Intégrer les 3RV aux politiques de fonctionnement de la MRC et des municipalités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D7A610" w14:textId="785126D2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I</w:t>
            </w:r>
            <w:r w:rsidRPr="00AE1468">
              <w:rPr>
                <w:rFonts w:eastAsia="Times New Roman" w:cstheme="majorHAnsi"/>
                <w:color w:val="000000"/>
                <w:szCs w:val="22"/>
                <w:lang w:eastAsia="fr-CA"/>
              </w:rPr>
              <w:t>ntégr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er</w:t>
            </w:r>
            <w:r w:rsidRPr="00AE146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le principe des 3RV dans la gestion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de ses propres matières résiduelles afin de bâtir une crédibilité</w:t>
            </w:r>
            <w:r w:rsidRPr="00AE146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et</w:t>
            </w:r>
            <w:r w:rsidRPr="00AE146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une expertise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2A9DBF3D" w14:textId="2D68C56D" w:rsidR="004D7E8F" w:rsidRPr="0007068A" w:rsidRDefault="00EE3ED4" w:rsidP="00492862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07068A">
              <w:rPr>
                <w:rFonts w:eastAsia="Times New Roman" w:cstheme="majorHAnsi"/>
                <w:color w:val="000000"/>
                <w:szCs w:val="22"/>
                <w:lang w:eastAsia="fr-CA"/>
              </w:rPr>
              <w:t>Application pour la certification Ici on recycle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30AACE6" w14:textId="257C3F86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,</w:t>
            </w: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B97BB69" w14:textId="4C1CDEBA" w:rsidR="004D7E8F" w:rsidRPr="00F60D07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F60D07"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16EF5BAD" w14:textId="6EF13399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7AFBFFE3" w14:textId="14FAA74F" w:rsidR="004D7E8F" w:rsidRPr="0097291A" w:rsidRDefault="00EE3ED4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3D07F60A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536BEED2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08001C6B" w14:textId="3677F7C7" w:rsidR="004D7E8F" w:rsidRDefault="00EE3ED4" w:rsidP="00EE3ED4">
            <w:pPr>
              <w:pStyle w:val="Paragraphedeliste"/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Une fois la certification</w:t>
            </w:r>
            <w:r w:rsidRPr="00EE3ED4">
              <w:rPr>
                <w:rFonts w:eastAsia="Times New Roman" w:cstheme="majorHAnsi"/>
                <w:i/>
                <w:iCs/>
                <w:color w:val="000000"/>
                <w:szCs w:val="22"/>
                <w:lang w:eastAsia="fr-CA"/>
              </w:rPr>
              <w:t xml:space="preserve"> ICI on recycle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obtenue pour la MRC, nous allons offrir notre expérience et nos conseils pour les municipalité</w:t>
            </w:r>
            <w:r w:rsidR="0007068A"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qui </w:t>
            </w:r>
            <w:r w:rsidR="0007068A">
              <w:rPr>
                <w:rFonts w:eastAsia="Times New Roman" w:cstheme="majorHAnsi"/>
                <w:color w:val="000000"/>
                <w:szCs w:val="22"/>
                <w:lang w:eastAsia="fr-CA"/>
              </w:rPr>
              <w:t>souhaiteraient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l’</w:t>
            </w:r>
            <w:r w:rsidR="0007068A">
              <w:rPr>
                <w:rFonts w:eastAsia="Times New Roman" w:cstheme="majorHAnsi"/>
                <w:color w:val="000000"/>
                <w:szCs w:val="22"/>
                <w:lang w:eastAsia="fr-CA"/>
              </w:rPr>
              <w:t>obtenir.</w:t>
            </w:r>
          </w:p>
        </w:tc>
      </w:tr>
      <w:tr w:rsidR="004D7E8F" w:rsidRPr="0028417C" w14:paraId="0EE22E76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4EDE8936" w14:textId="3D7409F8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>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42B8C7" w14:textId="5CCFDAA8" w:rsidR="004D7E8F" w:rsidRPr="003B4463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3B4463">
              <w:rPr>
                <w:rFonts w:eastAsia="Times New Roman" w:cstheme="majorHAnsi"/>
                <w:color w:val="000000"/>
                <w:szCs w:val="22"/>
                <w:lang w:eastAsia="fr-CA"/>
              </w:rPr>
              <w:t>Assurer l’accès au service de recyclage des plastiques agricoles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B7942A" w14:textId="38CF60C8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Adhérer au système de lieux de collectes officiel pour les plastiques agricoles d’</w:t>
            </w:r>
            <w:proofErr w:type="spellStart"/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AgriRÉCUP</w:t>
            </w:r>
            <w:proofErr w:type="spellEnd"/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1F8B51FB" w14:textId="777777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2CF0A7AE" w14:textId="00BE4C8C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,</w:t>
            </w:r>
          </w:p>
          <w:p w14:paraId="4590F5C5" w14:textId="77777777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,</w:t>
            </w:r>
          </w:p>
          <w:p w14:paraId="29BC0259" w14:textId="7B590C8E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UPA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CB2EA2C" w14:textId="43832F6B" w:rsidR="004D7E8F" w:rsidRPr="00F60D07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2025</w:t>
            </w:r>
          </w:p>
        </w:tc>
        <w:tc>
          <w:tcPr>
            <w:tcW w:w="625" w:type="dxa"/>
          </w:tcPr>
          <w:p w14:paraId="50CB1727" w14:textId="0D5F1BBF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4E732503" w14:textId="779CADF9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67D0BE76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4ED6EB24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804E56C" w14:textId="2365385F" w:rsidR="004D7E8F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La mise en œuvre de cette mesure a été retardée dû à un manque de main-d’œuvre temporaire</w:t>
            </w: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.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L’embauche récente d’une nouvelle ressource permettra de rattraper le retard.</w:t>
            </w:r>
          </w:p>
        </w:tc>
      </w:tr>
      <w:tr w:rsidR="004D7E8F" w:rsidRPr="0028417C" w14:paraId="29551545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C27C5BC" w14:textId="415BA3B3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D9AC6A" w14:textId="13615311" w:rsidR="004D7E8F" w:rsidRPr="00A437F5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A437F5">
              <w:rPr>
                <w:rFonts w:eastAsia="Times New Roman" w:cstheme="majorHAnsi"/>
                <w:szCs w:val="22"/>
                <w:lang w:eastAsia="fr-CA"/>
              </w:rPr>
              <w:t>Accompagner les organisateurs d'événement</w:t>
            </w:r>
            <w:r>
              <w:rPr>
                <w:rFonts w:eastAsia="Times New Roman" w:cstheme="majorHAnsi"/>
                <w:szCs w:val="22"/>
                <w:lang w:eastAsia="fr-CA"/>
              </w:rPr>
              <w:t>s</w:t>
            </w:r>
            <w:r w:rsidRPr="00A437F5">
              <w:rPr>
                <w:rFonts w:eastAsia="Times New Roman" w:cstheme="majorHAnsi"/>
                <w:szCs w:val="22"/>
                <w:lang w:eastAsia="fr-CA"/>
              </w:rPr>
              <w:t xml:space="preserve"> dans la gestion des matières résiduelles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B846A8" w14:textId="48F8F871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Accompagner les comités organisateurs d’événements dans la gestion des matières résiduelles en mettant en place des pratiques écoresponsables.</w:t>
            </w:r>
          </w:p>
        </w:tc>
        <w:tc>
          <w:tcPr>
            <w:tcW w:w="3709" w:type="dxa"/>
          </w:tcPr>
          <w:p w14:paraId="044BA4C0" w14:textId="3DCB55F3" w:rsidR="003A60ED" w:rsidRPr="007F5258" w:rsidRDefault="003A60ED" w:rsidP="003A60ED">
            <w:pPr>
              <w:pStyle w:val="Paragraphedeliste"/>
              <w:numPr>
                <w:ilvl w:val="0"/>
                <w:numId w:val="9"/>
              </w:numPr>
              <w:tabs>
                <w:tab w:val="left" w:pos="1333"/>
              </w:tabs>
              <w:rPr>
                <w:rFonts w:eastAsia="Times New Roman" w:cstheme="majorHAnsi"/>
                <w:szCs w:val="22"/>
                <w:lang w:eastAsia="fr-CA"/>
              </w:rPr>
            </w:pPr>
            <w:r>
              <w:rPr>
                <w:rFonts w:eastAsia="Times New Roman" w:cstheme="majorHAnsi"/>
                <w:szCs w:val="22"/>
                <w:lang w:eastAsia="fr-CA"/>
              </w:rPr>
              <w:t xml:space="preserve">Nous avons été </w:t>
            </w:r>
            <w:r w:rsidR="004B0933">
              <w:rPr>
                <w:rFonts w:eastAsia="Times New Roman" w:cstheme="majorHAnsi"/>
                <w:szCs w:val="22"/>
                <w:lang w:eastAsia="fr-CA"/>
              </w:rPr>
              <w:t>intégrés</w:t>
            </w:r>
            <w:r>
              <w:rPr>
                <w:rFonts w:eastAsia="Times New Roman" w:cstheme="majorHAnsi"/>
                <w:szCs w:val="22"/>
                <w:lang w:eastAsia="fr-CA"/>
              </w:rPr>
              <w:t xml:space="preserve"> </w:t>
            </w:r>
            <w:r w:rsidRPr="003A60ED">
              <w:rPr>
                <w:rFonts w:eastAsia="Times New Roman" w:cstheme="majorHAnsi"/>
                <w:szCs w:val="22"/>
                <w:lang w:eastAsia="fr-CA"/>
              </w:rPr>
              <w:t>sur le comité environnement du Festival H20 pour les accompagner dans leur pratique écoresponsable.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97B8774" w14:textId="3ED4C9B9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308409D" w14:textId="08380B67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3F40DC92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204DAAE2" w14:textId="1A440A03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61D6622E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107DECCD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29F6E3E" w14:textId="7453092C" w:rsidR="004D7E8F" w:rsidRDefault="004D7E8F" w:rsidP="0007068A">
            <w:pPr>
              <w:pStyle w:val="Paragraphedeliste"/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</w:tr>
      <w:tr w:rsidR="004D7E8F" w:rsidRPr="0028417C" w14:paraId="70445B1A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4C33A601" w14:textId="22F420BD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74505F" w14:textId="5477C72C" w:rsidR="004D7E8F" w:rsidRPr="007F2443" w:rsidRDefault="004D7E8F" w:rsidP="00797D74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7F2443">
              <w:rPr>
                <w:rFonts w:eastAsia="Times New Roman" w:cstheme="majorHAnsi"/>
                <w:szCs w:val="22"/>
                <w:lang w:eastAsia="fr-CA"/>
              </w:rPr>
              <w:t>Augmenter l'accessibilité pour les citoyens des services de collecte des encombrants et des RDD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3C4ED0" w14:textId="2A9F3B9F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Diversifier, mutualiser et améliorer les moyens permettant aux citoyens de se départir de leurs matières à fort potentiel de réutilisation ou de leurs matières dangereuses.</w:t>
            </w:r>
          </w:p>
        </w:tc>
        <w:tc>
          <w:tcPr>
            <w:tcW w:w="3709" w:type="dxa"/>
          </w:tcPr>
          <w:p w14:paraId="350456B3" w14:textId="77777777" w:rsidR="004D7E8F" w:rsidRPr="00186A19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8AECA00" w14:textId="64FC1025" w:rsidR="004D7E8F" w:rsidRPr="00186A19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Municipalités,</w:t>
            </w:r>
          </w:p>
          <w:p w14:paraId="7DA8569A" w14:textId="734927BE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3E0F585E" w14:textId="4EDA10B9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50648487" w14:textId="14B81FB1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6F1B7A68" w14:textId="365AB1D2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1579A789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6A3E2396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28B62F61" w14:textId="58CDAF23" w:rsidR="004D7E8F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2026</w:t>
            </w:r>
          </w:p>
        </w:tc>
      </w:tr>
      <w:tr w:rsidR="004D7E8F" w:rsidRPr="0028417C" w14:paraId="61754B41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0E4F932E" w14:textId="3CEE0B0D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2.7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CE0A81" w14:textId="4C2EF620" w:rsidR="004D7E8F" w:rsidRPr="00BE76DD" w:rsidRDefault="004D7E8F" w:rsidP="00797D74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BE76DD">
              <w:rPr>
                <w:rFonts w:eastAsia="Times New Roman" w:cstheme="majorHAnsi"/>
                <w:szCs w:val="22"/>
                <w:lang w:eastAsia="fr-CA"/>
              </w:rPr>
              <w:t>Compléter le déploiement des îlots de récupération hors foyer sur le territoire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75B296" w14:textId="7C6CD5E8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O</w:t>
            </w:r>
            <w:r w:rsidRPr="00C17493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ffrir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systématiquement </w:t>
            </w:r>
            <w:r w:rsidRPr="00C17493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une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alternative à la poubelle</w:t>
            </w:r>
            <w:r w:rsidRPr="00C17493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dans les espaces publics afin</w:t>
            </w:r>
            <w:r w:rsidRPr="00C17493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de détourner les matières de l’enfouissement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58DD05A4" w14:textId="77777777" w:rsidR="004D7E8F" w:rsidRPr="0028417C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250CF0D" w14:textId="027EE327" w:rsidR="004D7E8F" w:rsidRPr="00B269DE" w:rsidRDefault="004D7E8F" w:rsidP="00797D74">
            <w:pPr>
              <w:rPr>
                <w:rFonts w:eastAsia="Times New Roman" w:cstheme="majorHAnsi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, </w:t>
            </w: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1240627" w14:textId="6FF68641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314B039A" w14:textId="76A490B4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3E54A080" w14:textId="3B3D1492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2BD943A1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1E27009F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369EB51" w14:textId="7BF42227" w:rsidR="004D7E8F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2026</w:t>
            </w:r>
          </w:p>
        </w:tc>
      </w:tr>
      <w:tr w:rsidR="004D7E8F" w:rsidRPr="0028417C" w14:paraId="5B85A983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278993C8" w14:textId="44F84509" w:rsidR="004D7E8F" w:rsidRDefault="004D7E8F" w:rsidP="00797D74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 xml:space="preserve">2.8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F735E6" w14:textId="7A0A0E66" w:rsidR="004D7E8F" w:rsidRPr="00890958" w:rsidRDefault="004D7E8F" w:rsidP="00797D74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890958">
              <w:rPr>
                <w:rFonts w:eastAsia="Times New Roman" w:cstheme="majorHAnsi"/>
                <w:szCs w:val="22"/>
                <w:lang w:eastAsia="fr-CA"/>
              </w:rPr>
              <w:t>Réaliser une caractérisation des matières résiduelles générées sur le territoire de la MRC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DB9505" w14:textId="26FD02C2" w:rsidR="004D7E8F" w:rsidRDefault="004D7E8F" w:rsidP="00797D74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Caractériser les matières résiduelles de certains ICI ou résidences afin de mieux comprendre les problématiques pour y apporter les correctifs nécessaires.</w:t>
            </w:r>
          </w:p>
        </w:tc>
        <w:tc>
          <w:tcPr>
            <w:tcW w:w="3709" w:type="dxa"/>
          </w:tcPr>
          <w:p w14:paraId="336B140E" w14:textId="77777777" w:rsidR="004D7E8F" w:rsidRPr="0028417C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0BF099D7" w14:textId="322E4072" w:rsidR="004D7E8F" w:rsidRDefault="004D7E8F" w:rsidP="00797D74">
            <w:pPr>
              <w:jc w:val="center"/>
              <w:rPr>
                <w:rFonts w:eastAsia="Times New Roman" w:cstheme="majorHAnsi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84A8959" w14:textId="0DFB713E" w:rsidR="004D7E8F" w:rsidRDefault="004D7E8F" w:rsidP="00797D74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1A15D7A6" w14:textId="22504D91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7E622719" w14:textId="25D5E744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416106D9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5C73F047" w14:textId="77777777" w:rsidR="004D7E8F" w:rsidRPr="0097291A" w:rsidRDefault="004D7E8F" w:rsidP="004D7E8F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4CC5CE3C" w14:textId="21295456" w:rsidR="004D7E8F" w:rsidRDefault="004D7E8F" w:rsidP="00492862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2025</w:t>
            </w:r>
          </w:p>
        </w:tc>
      </w:tr>
      <w:tr w:rsidR="00813ACE" w:rsidRPr="0028417C" w14:paraId="4750B2A5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739ABB2C" w14:textId="40D2AB63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0B7E46" w14:textId="28D05B7E" w:rsidR="00813ACE" w:rsidRPr="00186A19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Compléter l’implantation de la collecte des matières organiques aux ICI, aux </w:t>
            </w:r>
            <w:proofErr w:type="spellStart"/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multilogements</w:t>
            </w:r>
            <w:proofErr w:type="spellEnd"/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et à la municipalité manquante.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F7FD7F" w14:textId="4C4D2534" w:rsidR="00813ACE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Offrir un accompagnement </w:t>
            </w: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adapté aux besoins des ICI et des </w:t>
            </w:r>
            <w:proofErr w:type="spellStart"/>
            <w:r w:rsidRPr="00105E0D">
              <w:rPr>
                <w:rFonts w:ascii="Calibri Light" w:eastAsia="Times New Roman" w:hAnsi="Calibri Light" w:cs="Calibri Light"/>
                <w:szCs w:val="22"/>
                <w:lang w:eastAsia="fr-CA"/>
              </w:rPr>
              <w:t>multilogements</w:t>
            </w:r>
            <w:proofErr w:type="spellEnd"/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afin d’assurer leur contribution au détournement des matières organiques de l’enfouissement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40E34825" w14:textId="11FA28E9" w:rsidR="00813ACE" w:rsidRDefault="00813ACE" w:rsidP="00813ACE">
            <w:pPr>
              <w:pStyle w:val="Paragraphedeliste"/>
              <w:numPr>
                <w:ilvl w:val="0"/>
                <w:numId w:val="9"/>
              </w:numPr>
              <w:spacing w:after="160"/>
              <w:contextualSpacing w:val="0"/>
              <w:jc w:val="both"/>
            </w:pPr>
            <w:r>
              <w:t xml:space="preserve">Implantation de service de collecte de matière organique </w:t>
            </w:r>
            <w:r w:rsidR="00557BD1">
              <w:t>à</w:t>
            </w:r>
            <w:r>
              <w:t xml:space="preserve"> la seule municipalité manquante</w:t>
            </w:r>
          </w:p>
          <w:p w14:paraId="7F867D98" w14:textId="322340CE" w:rsidR="005B662A" w:rsidRPr="00813ACE" w:rsidRDefault="005B662A" w:rsidP="00813ACE">
            <w:pPr>
              <w:pStyle w:val="Paragraphedeliste"/>
              <w:numPr>
                <w:ilvl w:val="0"/>
                <w:numId w:val="9"/>
              </w:numPr>
              <w:spacing w:after="160"/>
              <w:contextualSpacing w:val="0"/>
              <w:jc w:val="both"/>
            </w:pPr>
            <w:r>
              <w:t xml:space="preserve">Implantation du service de collecte dans tous les </w:t>
            </w:r>
            <w:proofErr w:type="spellStart"/>
            <w:r>
              <w:t>multi</w:t>
            </w:r>
            <w:r w:rsidR="00557BD1">
              <w:t>logements</w:t>
            </w:r>
            <w:proofErr w:type="spellEnd"/>
            <w:r>
              <w:t xml:space="preserve"> 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DC4E893" w14:textId="2DED313B" w:rsidR="00813ACE" w:rsidRDefault="00813ACE" w:rsidP="00813ACE">
            <w:pPr>
              <w:jc w:val="center"/>
              <w:rPr>
                <w:rFonts w:eastAsia="Times New Roman" w:cstheme="majorHAnsi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>
              <w:rPr>
                <w:rFonts w:eastAsia="Times New Roman" w:cstheme="majorHAnsi"/>
                <w:color w:val="000000"/>
                <w:lang w:eastAsia="fr-CA"/>
              </w:rPr>
              <w:t xml:space="preserve">, </w:t>
            </w:r>
            <w:r>
              <w:rPr>
                <w:rFonts w:eastAsia="Times New Roman" w:cstheme="majorHAnsi"/>
                <w:lang w:eastAsia="fr-CA"/>
              </w:rPr>
              <w:t>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61B1768" w14:textId="7CC51DE9" w:rsidR="00813ACE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2026</w:t>
            </w:r>
          </w:p>
        </w:tc>
        <w:tc>
          <w:tcPr>
            <w:tcW w:w="625" w:type="dxa"/>
          </w:tcPr>
          <w:p w14:paraId="114FEBA4" w14:textId="77777777" w:rsidR="00813ACE" w:rsidRPr="0097291A" w:rsidRDefault="00813ACE" w:rsidP="00813ACE">
            <w:pPr>
              <w:ind w:left="-36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35EA3522" w14:textId="52FEBAC5" w:rsidR="00813ACE" w:rsidRPr="0097291A" w:rsidRDefault="00813ACE" w:rsidP="00813ACE">
            <w:pPr>
              <w:ind w:left="-36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28902461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2FD1A1BF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214E98E" w14:textId="01F22ACF" w:rsidR="00813ACE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commentRangeStart w:id="10"/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La Ville d'Amos, par le biais de son contrat avec </w:t>
            </w:r>
            <w:proofErr w:type="spellStart"/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>Sanimos</w:t>
            </w:r>
            <w:proofErr w:type="spellEnd"/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, fournit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un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service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de desserte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à </w:t>
            </w:r>
            <w:r w:rsidRPr="00BC290D">
              <w:rPr>
                <w:rFonts w:eastAsia="Times New Roman" w:cstheme="majorHAnsi"/>
                <w:color w:val="000000"/>
                <w:szCs w:val="22"/>
                <w:lang w:eastAsia="fr-CA"/>
              </w:rPr>
              <w:t>certaines institutions.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Cependant, en l'absence d'obligation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règlementaire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>, leur contribution en matière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organique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varie et est effectuée sur une base volontaire. Cette situation, combinée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au fait que la c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ollecte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des MO de ces institutions est réalisée 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>simultané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ment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avec les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MO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résidentiels, rend difficile l'estimation précise de leur apport en termes de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quantité de MO.</w:t>
            </w:r>
            <w:commentRangeEnd w:id="10"/>
            <w:r>
              <w:rPr>
                <w:rStyle w:val="Marquedecommentaire"/>
              </w:rPr>
              <w:commentReference w:id="10"/>
            </w:r>
          </w:p>
        </w:tc>
      </w:tr>
      <w:tr w:rsidR="00813ACE" w:rsidRPr="0028417C" w14:paraId="03F1D027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3A444F4C" w14:textId="62E98E92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A2F40B" w14:textId="61FA4007" w:rsidR="00813ACE" w:rsidRPr="00923757" w:rsidRDefault="00813ACE" w:rsidP="00813ACE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923757">
              <w:rPr>
                <w:rFonts w:eastAsia="Times New Roman" w:cstheme="majorHAnsi"/>
                <w:szCs w:val="22"/>
                <w:lang w:eastAsia="fr-CA"/>
              </w:rPr>
              <w:t xml:space="preserve">Évaluer les options territoriales et régionales pour l’implantation d’un système de traitement </w:t>
            </w:r>
            <w:r>
              <w:rPr>
                <w:rFonts w:eastAsia="Times New Roman" w:cstheme="majorHAnsi"/>
                <w:szCs w:val="22"/>
                <w:lang w:eastAsia="fr-CA"/>
              </w:rPr>
              <w:t>e</w:t>
            </w:r>
            <w:r w:rsidRPr="00923757">
              <w:rPr>
                <w:rFonts w:eastAsia="Times New Roman" w:cstheme="majorHAnsi"/>
                <w:szCs w:val="22"/>
                <w:lang w:eastAsia="fr-CA"/>
              </w:rPr>
              <w:t xml:space="preserve">t de </w:t>
            </w:r>
            <w:r w:rsidRPr="00923757">
              <w:rPr>
                <w:rFonts w:eastAsia="Times New Roman" w:cstheme="majorHAnsi"/>
                <w:szCs w:val="22"/>
                <w:lang w:eastAsia="fr-CA"/>
              </w:rPr>
              <w:lastRenderedPageBreak/>
              <w:t>valorisation des boues septiques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B79373E" w14:textId="0D79F5D5" w:rsidR="00813ACE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lastRenderedPageBreak/>
              <w:t xml:space="preserve">Évaluer les options afin de </w:t>
            </w:r>
            <w:r w:rsidRPr="005D3374">
              <w:rPr>
                <w:rFonts w:ascii="Calibri Light" w:eastAsia="Times New Roman" w:hAnsi="Calibri Light" w:cs="Calibri Light"/>
                <w:szCs w:val="22"/>
                <w:lang w:eastAsia="fr-CA"/>
              </w:rPr>
              <w:t>maintenir une valorisation de 100 % des boues de fosse septique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</w:t>
            </w:r>
            <w:r>
              <w:rPr>
                <w:rFonts w:eastAsia="Times New Roman" w:cstheme="majorHAnsi"/>
                <w:szCs w:val="22"/>
                <w:lang w:eastAsia="fr-CA"/>
              </w:rPr>
              <w:t xml:space="preserve">en </w:t>
            </w:r>
            <w:r w:rsidRPr="00294EFC">
              <w:rPr>
                <w:rFonts w:ascii="Calibri Light" w:eastAsia="Times New Roman" w:hAnsi="Calibri Light" w:cs="Calibri Light"/>
                <w:szCs w:val="22"/>
                <w:lang w:eastAsia="fr-CA"/>
              </w:rPr>
              <w:t>s’assur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ant</w:t>
            </w:r>
            <w:r w:rsidRPr="00294EFC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d’uniformiser</w:t>
            </w:r>
            <w:r w:rsidRPr="00294EFC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la réglementation municipale sur le territoire.</w:t>
            </w:r>
          </w:p>
        </w:tc>
        <w:tc>
          <w:tcPr>
            <w:tcW w:w="3709" w:type="dxa"/>
          </w:tcPr>
          <w:p w14:paraId="58A2ED23" w14:textId="02CFCDDD" w:rsidR="00813ACE" w:rsidRDefault="00813ACE" w:rsidP="00813ACE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La Ville d’Amos et la MRC </w:t>
            </w:r>
            <w:r w:rsidR="00557BD1">
              <w:rPr>
                <w:rFonts w:eastAsia="Times New Roman" w:cstheme="majorHAnsi"/>
                <w:color w:val="000000"/>
                <w:szCs w:val="22"/>
                <w:lang w:eastAsia="fr-CA"/>
              </w:rPr>
              <w:t>ont</w:t>
            </w: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réalisé une étude de faisabilité sur un site à la Ville d’Amos.   </w:t>
            </w:r>
          </w:p>
          <w:p w14:paraId="54CDBEE3" w14:textId="5F81625A" w:rsidR="00813ACE" w:rsidRDefault="00813ACE" w:rsidP="00813ACE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On continue de suivre le projet du CTRI.</w:t>
            </w:r>
          </w:p>
          <w:p w14:paraId="7567A6E4" w14:textId="1D4E61BA" w:rsidR="00813ACE" w:rsidRPr="007F5258" w:rsidRDefault="00813ACE" w:rsidP="00813ACE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 xml:space="preserve">Des </w:t>
            </w: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>rencontre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du comité des boues de fosse septique </w:t>
            </w:r>
            <w:r w:rsidR="00557BD1">
              <w:rPr>
                <w:rFonts w:eastAsia="Times New Roman" w:cstheme="majorHAnsi"/>
                <w:color w:val="000000"/>
                <w:szCs w:val="22"/>
                <w:lang w:eastAsia="fr-CA"/>
              </w:rPr>
              <w:t>ont</w:t>
            </w:r>
            <w:r w:rsidRPr="007F5258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eu lieu pour se pencher sur le dossier.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34DEF53" w14:textId="658D3643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>MRC d'Abitibi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,</w:t>
            </w: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Municipalités</w:t>
            </w:r>
          </w:p>
          <w:p w14:paraId="644918EB" w14:textId="263B201F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CPAT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34DCF94" w14:textId="638FB58B" w:rsidR="00813ACE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6C3D05F2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63E2CC76" w14:textId="420F9E69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23C893B3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0EE46881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03BCFAE5" w14:textId="77777777" w:rsidR="00813ACE" w:rsidRPr="007E7EE7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</w:tr>
      <w:tr w:rsidR="00813ACE" w:rsidRPr="0028417C" w14:paraId="61CF0472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58D624B" w14:textId="01EA7BAE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00CC36" w14:textId="08223ADA" w:rsidR="00813ACE" w:rsidRPr="008157CE" w:rsidRDefault="00813ACE" w:rsidP="00813ACE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8157CE">
              <w:rPr>
                <w:rFonts w:eastAsia="Times New Roman" w:cstheme="majorHAnsi"/>
                <w:szCs w:val="22"/>
                <w:lang w:eastAsia="fr-CA"/>
              </w:rPr>
              <w:t>Assurer le recyclage de l'ensemble des boues de stations d'épuration vidangées dont la qualité le permet par les municipalités du territoire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A6FBD9" w14:textId="30644E4D" w:rsidR="00813ACE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>S’assurer du recyclage d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es </w:t>
            </w: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boues pour celles dont la qualité le permet.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Les </w:t>
            </w: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municipalités concernées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devront </w:t>
            </w: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>mesure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r</w:t>
            </w: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les boues de leur étang et en planifie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r</w:t>
            </w:r>
            <w:r w:rsidRPr="00D9615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la vidange le cas échéant. La vidange devra se faire avec une entreprise spécialisée qui s’assurera d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e leur valorisation.</w:t>
            </w:r>
          </w:p>
        </w:tc>
        <w:tc>
          <w:tcPr>
            <w:tcW w:w="3709" w:type="dxa"/>
          </w:tcPr>
          <w:p w14:paraId="084E676B" w14:textId="77777777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499E2831" w14:textId="247A7104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Municipalités,</w:t>
            </w:r>
          </w:p>
          <w:p w14:paraId="62189191" w14:textId="5378B0F2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3954A6E" w14:textId="3E3342C9" w:rsidR="00813ACE" w:rsidRPr="00985970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985970"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0F587545" w14:textId="7DBC7708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12E919B7" w14:textId="7C1A1304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32E062D3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23888E92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B8BEB4F" w14:textId="77777777" w:rsidR="00813ACE" w:rsidRPr="007E7EE7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</w:tr>
      <w:tr w:rsidR="00813ACE" w:rsidRPr="0028417C" w14:paraId="5C0F0D01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D998636" w14:textId="4B4BDF4E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BEA54C" w14:textId="6487AAF1" w:rsidR="00813ACE" w:rsidRPr="002D16AB" w:rsidRDefault="00813ACE" w:rsidP="00813ACE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2D16AB">
              <w:rPr>
                <w:rFonts w:eastAsia="Times New Roman" w:cstheme="majorHAnsi"/>
                <w:szCs w:val="22"/>
                <w:lang w:eastAsia="fr-CA"/>
              </w:rPr>
              <w:t>Mettre en place des mécanismes d’accompagnement et de suivi</w:t>
            </w:r>
            <w:r>
              <w:rPr>
                <w:rFonts w:eastAsia="Times New Roman" w:cstheme="majorHAnsi"/>
                <w:szCs w:val="22"/>
                <w:lang w:eastAsia="fr-CA"/>
              </w:rPr>
              <w:t>s</w:t>
            </w:r>
            <w:r w:rsidRPr="002D16AB">
              <w:rPr>
                <w:rFonts w:eastAsia="Times New Roman" w:cstheme="majorHAnsi"/>
                <w:szCs w:val="22"/>
                <w:lang w:eastAsia="fr-CA"/>
              </w:rPr>
              <w:t xml:space="preserve"> personnalisé</w:t>
            </w:r>
            <w:r>
              <w:rPr>
                <w:rFonts w:eastAsia="Times New Roman" w:cstheme="majorHAnsi"/>
                <w:szCs w:val="22"/>
                <w:lang w:eastAsia="fr-CA"/>
              </w:rPr>
              <w:t>s</w:t>
            </w:r>
            <w:r w:rsidRPr="002D16AB">
              <w:rPr>
                <w:rFonts w:eastAsia="Times New Roman" w:cstheme="majorHAnsi"/>
                <w:szCs w:val="22"/>
                <w:lang w:eastAsia="fr-CA"/>
              </w:rPr>
              <w:t xml:space="preserve"> pour les générateurs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D85316" w14:textId="6367A9DB" w:rsidR="00813ACE" w:rsidRPr="00D9615D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Aller à la rencontre des citoyens et des ICI, </w:t>
            </w: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afin </w:t>
            </w:r>
            <w:r w:rsidRPr="005C5098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de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mieux comprendre</w:t>
            </w:r>
            <w:r w:rsidRPr="005C5098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les matières problématiques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et </w:t>
            </w:r>
            <w:r w:rsidRPr="005C5098">
              <w:rPr>
                <w:rFonts w:ascii="Calibri Light" w:eastAsia="Times New Roman" w:hAnsi="Calibri Light" w:cs="Calibri Light"/>
                <w:szCs w:val="22"/>
                <w:lang w:eastAsia="fr-CA"/>
              </w:rPr>
              <w:t>améliorer la qualité du tri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7BD2530F" w14:textId="77777777" w:rsidR="00813ACE" w:rsidRPr="0028417C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2A2B5767" w14:textId="42E239DB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, </w:t>
            </w:r>
          </w:p>
          <w:p w14:paraId="4EF86435" w14:textId="5BC4DA4A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A2930B4" w14:textId="6A1A8210" w:rsidR="00813ACE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04D99946" w14:textId="422F796C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08C0BFAD" w14:textId="4F97926F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4D6D3422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4284D250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11B36B9" w14:textId="4A5429CF" w:rsidR="00813ACE" w:rsidRPr="007E7EE7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2025</w:t>
            </w:r>
          </w:p>
        </w:tc>
      </w:tr>
      <w:tr w:rsidR="00813ACE" w:rsidRPr="0028417C" w14:paraId="74B82B3F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46CE3619" w14:textId="78AA35C2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>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FE289B" w14:textId="22E7233F" w:rsidR="00813ACE" w:rsidRPr="004E2B1B" w:rsidRDefault="00813ACE" w:rsidP="00813ACE">
            <w:pPr>
              <w:rPr>
                <w:rFonts w:eastAsia="Times New Roman" w:cstheme="majorHAnsi"/>
                <w:szCs w:val="22"/>
                <w:lang w:eastAsia="fr-CA"/>
              </w:rPr>
            </w:pPr>
            <w:r w:rsidRPr="004E2B1B">
              <w:rPr>
                <w:rFonts w:eastAsia="Times New Roman" w:cstheme="majorHAnsi"/>
                <w:szCs w:val="22"/>
                <w:lang w:eastAsia="fr-CA"/>
              </w:rPr>
              <w:t>Mettre en place une stratégie pour améliorer la performance des ICI</w:t>
            </w:r>
            <w:r>
              <w:rPr>
                <w:rFonts w:eastAsia="Times New Roman" w:cstheme="majorHAnsi"/>
                <w:szCs w:val="22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68C61D" w14:textId="39FC0005" w:rsidR="00813ACE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Entreprendre une tournée des ICI pour mieux comprendre </w:t>
            </w:r>
            <w:r w:rsidRPr="00250370">
              <w:rPr>
                <w:rFonts w:ascii="Calibri Light" w:eastAsia="Times New Roman" w:hAnsi="Calibri Light" w:cs="Calibri Light"/>
                <w:szCs w:val="22"/>
                <w:lang w:eastAsia="fr-CA"/>
              </w:rPr>
              <w:t>les problématiques rencontrées et ainsi leur offrir un accompagnement personnalisé et adapté à leur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s</w:t>
            </w:r>
            <w:r w:rsidRPr="00250370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besoin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s.</w:t>
            </w:r>
          </w:p>
        </w:tc>
        <w:tc>
          <w:tcPr>
            <w:tcW w:w="3709" w:type="dxa"/>
          </w:tcPr>
          <w:p w14:paraId="0DC78673" w14:textId="04C4655E" w:rsidR="00813ACE" w:rsidRDefault="00813ACE" w:rsidP="00813ACE">
            <w:pPr>
              <w:pStyle w:val="Paragraphedeliste"/>
              <w:numPr>
                <w:ilvl w:val="0"/>
                <w:numId w:val="9"/>
              </w:numPr>
              <w:rPr>
                <w:lang w:eastAsia="fr-CA"/>
              </w:rPr>
            </w:pPr>
            <w:r w:rsidRPr="00405D43">
              <w:rPr>
                <w:lang w:eastAsia="fr-CA"/>
              </w:rPr>
              <w:t>Nous avons contacté une trentaine d’ICI de la MRC et évalué le</w:t>
            </w:r>
            <w:r>
              <w:rPr>
                <w:lang w:eastAsia="fr-CA"/>
              </w:rPr>
              <w:t>ur</w:t>
            </w:r>
            <w:r w:rsidRPr="00405D43">
              <w:rPr>
                <w:lang w:eastAsia="fr-CA"/>
              </w:rPr>
              <w:t>s besoins et leur volonté d’instaur</w:t>
            </w:r>
            <w:r w:rsidR="00557BD1">
              <w:rPr>
                <w:lang w:eastAsia="fr-CA"/>
              </w:rPr>
              <w:t>er</w:t>
            </w:r>
            <w:r w:rsidRPr="00405D43">
              <w:rPr>
                <w:lang w:eastAsia="fr-CA"/>
              </w:rPr>
              <w:t xml:space="preserve"> un</w:t>
            </w:r>
            <w:r>
              <w:rPr>
                <w:lang w:eastAsia="fr-CA"/>
              </w:rPr>
              <w:t xml:space="preserve"> </w:t>
            </w:r>
            <w:r w:rsidRPr="00405D43">
              <w:rPr>
                <w:lang w:eastAsia="fr-CA"/>
              </w:rPr>
              <w:t xml:space="preserve">programme de compostage. </w:t>
            </w:r>
          </w:p>
          <w:p w14:paraId="1C51EA6D" w14:textId="5FEB7AFB" w:rsidR="00813ACE" w:rsidRPr="004B0933" w:rsidRDefault="00813ACE" w:rsidP="00813ACE">
            <w:pPr>
              <w:pStyle w:val="Paragraphedeliste"/>
              <w:numPr>
                <w:ilvl w:val="0"/>
                <w:numId w:val="9"/>
              </w:num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D</w:t>
            </w:r>
            <w:r w:rsidRPr="004B0933">
              <w:rPr>
                <w:rFonts w:eastAsia="Times New Roman" w:cstheme="majorHAnsi"/>
                <w:color w:val="000000"/>
                <w:szCs w:val="22"/>
                <w:lang w:eastAsia="fr-CA"/>
              </w:rPr>
              <w:t>éveloppement d’une stratégie pour le compostage des ICI et accompagnement de certains.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65672E7F" w14:textId="4EC951BF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, </w:t>
            </w:r>
          </w:p>
          <w:p w14:paraId="4284E721" w14:textId="426FA816" w:rsidR="00813ACE" w:rsidRPr="00186A19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Municipalités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FA3B759" w14:textId="55B6A798" w:rsidR="00813ACE" w:rsidRDefault="00813ACE" w:rsidP="00813ACE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00255FF9" w14:textId="2045CC52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5EF5B2F2" w14:textId="30BC3BCF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521C96A9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1BC1BEC8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730A7F07" w14:textId="1C713A09" w:rsidR="00813ACE" w:rsidRPr="007E7EE7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La Ville d'Amos, par le biais de son contrat avec </w:t>
            </w:r>
            <w:proofErr w:type="spellStart"/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>Sanimos</w:t>
            </w:r>
            <w:proofErr w:type="spellEnd"/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, fournit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un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service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de desserte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à </w:t>
            </w:r>
            <w:r w:rsidRPr="00BC290D">
              <w:rPr>
                <w:rFonts w:eastAsia="Times New Roman" w:cstheme="majorHAnsi"/>
                <w:color w:val="000000"/>
                <w:szCs w:val="22"/>
                <w:lang w:eastAsia="fr-CA"/>
              </w:rPr>
              <w:t>certaines institutions.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Cependant, en l'absence d'obligation 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règlementaire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>, leur contribution en matière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organique</w:t>
            </w: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s</w:t>
            </w:r>
            <w:r w:rsidRPr="007E7EE7">
              <w:rPr>
                <w:rFonts w:eastAsia="Times New Roman" w:cstheme="majorHAnsi"/>
                <w:color w:val="000000"/>
                <w:szCs w:val="22"/>
                <w:lang w:eastAsia="fr-CA"/>
              </w:rPr>
              <w:t xml:space="preserve"> varie et est effectuée sur une base volontaire. </w:t>
            </w:r>
          </w:p>
        </w:tc>
      </w:tr>
      <w:tr w:rsidR="00813ACE" w:rsidRPr="0028417C" w14:paraId="2EEA70B2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748A0058" w14:textId="4CD78074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3C3377" w14:textId="42065F33" w:rsidR="00813ACE" w:rsidRPr="00186A19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Sensibiliser les citoyens et les ICI à la gestion des résidus de CRD.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8F540B" w14:textId="12658406" w:rsidR="00813ACE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Sensibiliser les citoyens à une meilleure gestion de leurs résidus de CRD et les informer sur la bonne manière de se départir de certaines matières autres que de les envoyer à l’enfouissement.</w:t>
            </w:r>
          </w:p>
        </w:tc>
        <w:tc>
          <w:tcPr>
            <w:tcW w:w="3709" w:type="dxa"/>
          </w:tcPr>
          <w:p w14:paraId="1C84CEBC" w14:textId="4F477CB6" w:rsidR="00813ACE" w:rsidRPr="004B0933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  <w:p w14:paraId="0FC84C4B" w14:textId="56C6CE9A" w:rsidR="00813ACE" w:rsidRPr="00186A19" w:rsidRDefault="00813ACE" w:rsidP="00813ACE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4A97EE8E" w14:textId="0D9B0981" w:rsidR="00813ACE" w:rsidRPr="00186A19" w:rsidRDefault="00813ACE" w:rsidP="00813ACE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41A79F25" w14:textId="17410B61" w:rsidR="00813ACE" w:rsidRPr="00186A19" w:rsidRDefault="00813ACE" w:rsidP="00813ACE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7F5C4414" w14:textId="0FCEE218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0B95DB44" w14:textId="34DF8E20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1FF46CEB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65A11278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4B4B9D9D" w14:textId="37ED9ED6" w:rsidR="00813ACE" w:rsidRPr="00186A19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À partir de 2026</w:t>
            </w:r>
          </w:p>
        </w:tc>
      </w:tr>
      <w:tr w:rsidR="00813ACE" w:rsidRPr="0028417C" w14:paraId="5C0D6A0A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4C11D872" w14:textId="067301C1" w:rsidR="00813ACE" w:rsidRDefault="00813ACE" w:rsidP="00813ACE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A9659A" w14:textId="70BF5DBE" w:rsidR="00813ACE" w:rsidRPr="00186A19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Sensibiliser les entrepreneurs en construction et rénovation pour la gestion des CRD.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ABBD21" w14:textId="3DECA7C9" w:rsidR="00813ACE" w:rsidRPr="00186A19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Produire et diffuser l’information sur la gestion des CRD auprès des entrepreneurs et amorcer une démarche auprès d’eux afin de mieux saisir leurs enjeux en GMR.</w:t>
            </w:r>
          </w:p>
        </w:tc>
        <w:tc>
          <w:tcPr>
            <w:tcW w:w="3709" w:type="dxa"/>
          </w:tcPr>
          <w:p w14:paraId="7A41B6B6" w14:textId="77777777" w:rsidR="00813ACE" w:rsidRPr="004B0933" w:rsidRDefault="00813ACE" w:rsidP="00813ACE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7B838250" w14:textId="12239617" w:rsidR="00813ACE" w:rsidRPr="00186A19" w:rsidRDefault="00813ACE" w:rsidP="00813ACE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F2B237B" w14:textId="2CB84E3C" w:rsidR="00813ACE" w:rsidRPr="00186A19" w:rsidRDefault="00813ACE" w:rsidP="00813ACE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En continu</w:t>
            </w:r>
          </w:p>
        </w:tc>
        <w:tc>
          <w:tcPr>
            <w:tcW w:w="625" w:type="dxa"/>
          </w:tcPr>
          <w:p w14:paraId="29B890FB" w14:textId="0EC4648D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799731BE" w14:textId="11ACB56B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3AFB3635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30BAC871" w14:textId="77777777" w:rsidR="00813ACE" w:rsidRPr="0097291A" w:rsidRDefault="00813ACE" w:rsidP="00813ACE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9D50428" w14:textId="691D15D1" w:rsidR="00813ACE" w:rsidRPr="00186A19" w:rsidRDefault="00813ACE" w:rsidP="00813ACE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À partir de 2026</w:t>
            </w:r>
          </w:p>
        </w:tc>
      </w:tr>
      <w:tr w:rsidR="005C173D" w:rsidRPr="0028417C" w14:paraId="23B737BB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32D3493B" w14:textId="2694EBCC" w:rsidR="005C173D" w:rsidRDefault="005C173D" w:rsidP="005C173D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lastRenderedPageBreak/>
              <w:t>4.5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AD2842" w14:textId="35FBBB76" w:rsidR="005C173D" w:rsidRPr="00186A19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Redistribuer des résidus de CRD propres au réemploi et les encombrants réutilisables dans tous les écocentres du territoire.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EE654A" w14:textId="0F204D94" w:rsidR="005C173D" w:rsidRPr="00186A19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Étendre l’initiative de redistribution des résidus de CRD propre au réemploi à l’ensemble des écocentres de la MRC et faire connaître ce nouveau service aux générateurs et aux citoyens.</w:t>
            </w:r>
          </w:p>
        </w:tc>
        <w:tc>
          <w:tcPr>
            <w:tcW w:w="3709" w:type="dxa"/>
          </w:tcPr>
          <w:p w14:paraId="413C8F6A" w14:textId="7D7186D6" w:rsidR="005C173D" w:rsidRPr="005C173D" w:rsidRDefault="005B662A" w:rsidP="005C173D">
            <w:pPr>
              <w:pStyle w:val="Paragraphedeliste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L</w:t>
            </w:r>
            <w:r w:rsidR="005C173D" w:rsidRPr="005C173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’écocentre d’Amos (le principal de la MRC)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a un magasin</w:t>
            </w:r>
            <w:r w:rsidR="005C173D" w:rsidRPr="005C173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fonctionnel. Les employer récupère des matériaux de construction, des meubles et autres produits pouvant être facilement revendu</w:t>
            </w:r>
            <w:r w:rsidR="00557BD1">
              <w:rPr>
                <w:rFonts w:ascii="Calibri Light" w:eastAsia="Times New Roman" w:hAnsi="Calibri Light" w:cs="Calibri Light"/>
                <w:szCs w:val="22"/>
                <w:lang w:eastAsia="fr-CA"/>
              </w:rPr>
              <w:t>s</w:t>
            </w:r>
            <w:r w:rsidR="005C173D" w:rsidRPr="005C173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à prix modique au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x</w:t>
            </w:r>
            <w:r w:rsidR="005C173D" w:rsidRPr="005C173D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citoyen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s.</w:t>
            </w:r>
          </w:p>
          <w:p w14:paraId="3B8DACB6" w14:textId="54757ED4" w:rsidR="005C173D" w:rsidRPr="005C173D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6BB07E5A" w14:textId="460B5376" w:rsidR="005C173D" w:rsidRPr="00186A19" w:rsidRDefault="005C173D" w:rsidP="005C173D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MRC d'Abitibi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CEC44EB" w14:textId="262D3331" w:rsidR="005C173D" w:rsidRPr="00186A19" w:rsidRDefault="005C173D" w:rsidP="005C173D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6AB10C1B" w14:textId="38AEFAE0" w:rsidR="005C173D" w:rsidRPr="0097291A" w:rsidRDefault="005C173D" w:rsidP="005C173D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43169DD3" w14:textId="7C09D404" w:rsidR="005C173D" w:rsidRPr="0097291A" w:rsidRDefault="005C173D" w:rsidP="005C173D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  <w:r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1529AE6F" w14:textId="77777777" w:rsidR="005C173D" w:rsidRPr="0097291A" w:rsidRDefault="005C173D" w:rsidP="005C173D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3D175982" w14:textId="77777777" w:rsidR="005C173D" w:rsidRPr="0097291A" w:rsidRDefault="005C173D" w:rsidP="005C173D">
            <w:pPr>
              <w:pStyle w:val="Paragraphedeliste"/>
              <w:ind w:left="0"/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2C3C6338" w14:textId="22A355B9" w:rsidR="005C173D" w:rsidRPr="00186A19" w:rsidRDefault="005C173D" w:rsidP="005C173D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</w:tr>
      <w:tr w:rsidR="005C173D" w:rsidRPr="0028417C" w14:paraId="219FE612" w14:textId="77777777" w:rsidTr="007F5258">
        <w:trPr>
          <w:trHeight w:val="1762"/>
        </w:trPr>
        <w:tc>
          <w:tcPr>
            <w:tcW w:w="562" w:type="dxa"/>
            <w:shd w:val="clear" w:color="auto" w:fill="auto"/>
            <w:vAlign w:val="center"/>
          </w:tcPr>
          <w:p w14:paraId="583C3490" w14:textId="568A5285" w:rsidR="005C173D" w:rsidRDefault="005C173D" w:rsidP="005C173D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70E34">
              <w:rPr>
                <w:rFonts w:eastAsia="Times New Roman" w:cstheme="majorHAnsi"/>
                <w:szCs w:val="22"/>
                <w:lang w:eastAsia="fr-CA"/>
              </w:rPr>
              <w:t>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951B4" w14:textId="424B741D" w:rsidR="005C173D" w:rsidRPr="00186A19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Réaliser un suivi de l’évolution des coûts et de la performance des services de collecte et de traitement des matières résiduelles.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80349E" w14:textId="5B8696DF" w:rsidR="005C173D" w:rsidRPr="00186A19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Mettre sur pied un outil afin de suivre l’évolution de la performance et des coûts liés à l’enfouissement, au recyclage, au compostage et aux écocentres.</w:t>
            </w:r>
          </w:p>
        </w:tc>
        <w:tc>
          <w:tcPr>
            <w:tcW w:w="3709" w:type="dxa"/>
          </w:tcPr>
          <w:p w14:paraId="18D6975D" w14:textId="072EF6D2" w:rsidR="005C173D" w:rsidRPr="00186A19" w:rsidRDefault="005C173D" w:rsidP="005C173D">
            <w:pPr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096F5D28" w14:textId="45278999" w:rsidR="005C173D" w:rsidRPr="00186A19" w:rsidRDefault="005C173D" w:rsidP="005C173D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En continu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0556D26" w14:textId="6324B9FB" w:rsidR="005C173D" w:rsidRPr="00186A19" w:rsidRDefault="005C173D" w:rsidP="005C173D">
            <w:pPr>
              <w:jc w:val="center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  <w:r w:rsidRPr="00186A19">
              <w:rPr>
                <w:rFonts w:ascii="Calibri Light" w:eastAsia="Times New Roman" w:hAnsi="Calibri Light" w:cs="Calibri Light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629DDE08" w14:textId="77777777" w:rsidR="005C173D" w:rsidRPr="0097291A" w:rsidRDefault="005C173D" w:rsidP="005C173D">
            <w:pPr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25" w:type="dxa"/>
          </w:tcPr>
          <w:p w14:paraId="132F4E10" w14:textId="467ECCCF" w:rsidR="005C173D" w:rsidRPr="0097291A" w:rsidRDefault="005C173D" w:rsidP="005C173D">
            <w:pPr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567" w:type="dxa"/>
          </w:tcPr>
          <w:p w14:paraId="034DD869" w14:textId="77777777" w:rsidR="005C173D" w:rsidRPr="0097291A" w:rsidRDefault="005C173D" w:rsidP="005C173D">
            <w:pPr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59D8897D" w14:textId="77777777" w:rsidR="005C173D" w:rsidRPr="0097291A" w:rsidRDefault="005C173D" w:rsidP="005C173D">
            <w:pPr>
              <w:jc w:val="center"/>
              <w:rPr>
                <w:rFonts w:ascii="Arial Black" w:eastAsia="Times New Roman" w:hAnsi="Arial Black" w:cs="Calibri Light"/>
                <w:b/>
                <w:bCs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08723D22" w14:textId="26941B4C" w:rsidR="005C173D" w:rsidRPr="00186A19" w:rsidRDefault="005C173D" w:rsidP="005C173D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ascii="Calibri Light" w:eastAsia="Times New Roman" w:hAnsi="Calibri Light" w:cs="Calibri Light"/>
                <w:szCs w:val="22"/>
                <w:lang w:eastAsia="fr-CA"/>
              </w:rPr>
            </w:pPr>
          </w:p>
        </w:tc>
      </w:tr>
      <w:tr w:rsidR="005C173D" w:rsidRPr="0028417C" w14:paraId="4BBE8C85" w14:textId="77777777" w:rsidTr="007F5258">
        <w:trPr>
          <w:trHeight w:val="1430"/>
        </w:trPr>
        <w:tc>
          <w:tcPr>
            <w:tcW w:w="562" w:type="dxa"/>
            <w:shd w:val="clear" w:color="auto" w:fill="auto"/>
            <w:vAlign w:val="center"/>
          </w:tcPr>
          <w:p w14:paraId="0D7A8641" w14:textId="62DC0583" w:rsidR="005C173D" w:rsidRDefault="005C173D" w:rsidP="005C173D">
            <w:pPr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D1713" w14:textId="4F0867BA" w:rsidR="005C173D" w:rsidRPr="00105D1E" w:rsidRDefault="005C173D" w:rsidP="005C173D">
            <w:pPr>
              <w:rPr>
                <w:rFonts w:eastAsia="Times New Roman" w:cstheme="majorHAnsi"/>
                <w:lang w:eastAsia="fr-CA"/>
              </w:rPr>
            </w:pPr>
            <w:r w:rsidRPr="00105D1E">
              <w:rPr>
                <w:rFonts w:eastAsia="Times New Roman" w:cstheme="majorHAnsi"/>
                <w:lang w:eastAsia="fr-CA"/>
              </w:rPr>
              <w:t>Structuration, déploiement et diffusion de solutions pour les matières non récupérées sur le territoire</w:t>
            </w:r>
            <w:r>
              <w:rPr>
                <w:rFonts w:eastAsia="Times New Roman" w:cstheme="majorHAnsi"/>
                <w:lang w:eastAsia="fr-CA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EAF4DD" w14:textId="3F60116C" w:rsidR="005C173D" w:rsidRDefault="005C173D" w:rsidP="005C173D">
            <w:pPr>
              <w:rPr>
                <w:rFonts w:eastAsia="Times New Roman" w:cstheme="majorHAnsi"/>
                <w:lang w:eastAsia="fr-CA"/>
              </w:rPr>
            </w:pP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É</w:t>
            </w:r>
            <w:r w:rsidRPr="00105D1E">
              <w:rPr>
                <w:rFonts w:ascii="Calibri Light" w:eastAsia="Times New Roman" w:hAnsi="Calibri Light" w:cs="Calibri Light"/>
                <w:szCs w:val="22"/>
                <w:lang w:eastAsia="fr-CA"/>
              </w:rPr>
              <w:t>valuer un éventail de solution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s</w:t>
            </w:r>
            <w:r w:rsidRPr="00105D1E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possible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s pour répondre à l’enjeu du manque d’infrastructures de récupération tout en prenant en compte </w:t>
            </w:r>
            <w:r w:rsidRPr="00105D1E">
              <w:rPr>
                <w:rFonts w:ascii="Calibri Light" w:eastAsia="Times New Roman" w:hAnsi="Calibri Light" w:cs="Calibri Light"/>
                <w:szCs w:val="22"/>
                <w:lang w:eastAsia="fr-CA"/>
              </w:rPr>
              <w:t>l’éloignement</w:t>
            </w:r>
            <w:r w:rsidRPr="00375350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 des grands centres urbains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et </w:t>
            </w:r>
            <w:r w:rsidRPr="00375350"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la faible 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 xml:space="preserve">densité de la </w:t>
            </w:r>
            <w:r w:rsidRPr="00375350">
              <w:rPr>
                <w:rFonts w:ascii="Calibri Light" w:eastAsia="Times New Roman" w:hAnsi="Calibri Light" w:cs="Calibri Light"/>
                <w:szCs w:val="22"/>
                <w:lang w:eastAsia="fr-CA"/>
              </w:rPr>
              <w:t>population</w:t>
            </w:r>
            <w:r>
              <w:rPr>
                <w:rFonts w:ascii="Calibri Light" w:eastAsia="Times New Roman" w:hAnsi="Calibri Light" w:cs="Calibri Light"/>
                <w:szCs w:val="22"/>
                <w:lang w:eastAsia="fr-CA"/>
              </w:rPr>
              <w:t>.</w:t>
            </w:r>
          </w:p>
        </w:tc>
        <w:tc>
          <w:tcPr>
            <w:tcW w:w="3709" w:type="dxa"/>
          </w:tcPr>
          <w:p w14:paraId="00B0EDB6" w14:textId="6E567E0F" w:rsidR="005C173D" w:rsidRPr="0028417C" w:rsidRDefault="005C173D" w:rsidP="005C173D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4DA29C4" w14:textId="7B798A05" w:rsidR="005C173D" w:rsidRDefault="005C173D" w:rsidP="005C173D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 w:rsidRPr="0028417C">
              <w:rPr>
                <w:rFonts w:eastAsia="Times New Roman" w:cstheme="majorHAnsi"/>
                <w:color w:val="000000"/>
                <w:szCs w:val="22"/>
                <w:lang w:eastAsia="fr-CA"/>
              </w:rPr>
              <w:t>MRC d'Abitibi</w:t>
            </w:r>
          </w:p>
          <w:p w14:paraId="55C0AEA1" w14:textId="3081272F" w:rsidR="005C173D" w:rsidRDefault="005C173D" w:rsidP="005C173D">
            <w:pPr>
              <w:jc w:val="center"/>
              <w:rPr>
                <w:rFonts w:eastAsia="Times New Roman" w:cstheme="majorHAnsi"/>
                <w:lang w:eastAsia="fr-CA"/>
              </w:rPr>
            </w:pPr>
            <w:r w:rsidRPr="00186A19">
              <w:rPr>
                <w:rFonts w:eastAsia="Times New Roman" w:cstheme="majorHAnsi"/>
                <w:color w:val="000000"/>
                <w:szCs w:val="22"/>
                <w:lang w:eastAsia="fr-CA"/>
              </w:rPr>
              <w:t>MRC de la région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5BF8495A" w14:textId="645E44CC" w:rsidR="005C173D" w:rsidRDefault="005C173D" w:rsidP="005C173D">
            <w:pPr>
              <w:jc w:val="center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2030</w:t>
            </w:r>
          </w:p>
        </w:tc>
        <w:tc>
          <w:tcPr>
            <w:tcW w:w="625" w:type="dxa"/>
          </w:tcPr>
          <w:p w14:paraId="27293E68" w14:textId="49550871" w:rsidR="005C173D" w:rsidRPr="0097291A" w:rsidRDefault="005C173D" w:rsidP="005C173D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  <w:r w:rsidRPr="0097291A"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  <w:t>X</w:t>
            </w:r>
          </w:p>
        </w:tc>
        <w:tc>
          <w:tcPr>
            <w:tcW w:w="625" w:type="dxa"/>
          </w:tcPr>
          <w:p w14:paraId="5F6574A0" w14:textId="5D5BD5E3" w:rsidR="005C173D" w:rsidRPr="0097291A" w:rsidRDefault="005C173D" w:rsidP="005C173D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567" w:type="dxa"/>
          </w:tcPr>
          <w:p w14:paraId="639B26AE" w14:textId="77777777" w:rsidR="005C173D" w:rsidRPr="0097291A" w:rsidRDefault="005C173D" w:rsidP="005C173D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647" w:type="dxa"/>
          </w:tcPr>
          <w:p w14:paraId="4828F4A4" w14:textId="77777777" w:rsidR="005C173D" w:rsidRPr="0097291A" w:rsidRDefault="005C173D" w:rsidP="005C173D">
            <w:pPr>
              <w:jc w:val="center"/>
              <w:rPr>
                <w:rFonts w:ascii="Arial Black" w:eastAsia="Times New Roman" w:hAnsi="Arial Black" w:cstheme="majorHAnsi"/>
                <w:b/>
                <w:bCs/>
                <w:color w:val="000000"/>
                <w:sz w:val="36"/>
                <w:szCs w:val="36"/>
                <w:lang w:eastAsia="fr-CA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1A9470F8" w14:textId="17B101E8" w:rsidR="005C173D" w:rsidRDefault="005C173D" w:rsidP="005C173D">
            <w:pPr>
              <w:pStyle w:val="Paragraphedeliste"/>
              <w:numPr>
                <w:ilvl w:val="0"/>
                <w:numId w:val="5"/>
              </w:numPr>
              <w:ind w:left="0"/>
              <w:rPr>
                <w:rFonts w:eastAsia="Times New Roman" w:cstheme="majorHAnsi"/>
                <w:color w:val="000000"/>
                <w:szCs w:val="22"/>
                <w:lang w:eastAsia="fr-CA"/>
              </w:rPr>
            </w:pPr>
            <w:r>
              <w:rPr>
                <w:rFonts w:eastAsia="Times New Roman" w:cstheme="majorHAnsi"/>
                <w:color w:val="000000"/>
                <w:szCs w:val="22"/>
                <w:lang w:eastAsia="fr-CA"/>
              </w:rPr>
              <w:t>À partir de 2027</w:t>
            </w:r>
          </w:p>
        </w:tc>
      </w:tr>
    </w:tbl>
    <w:p w14:paraId="43ECFCC7" w14:textId="77777777" w:rsidR="00445571" w:rsidRDefault="00445571" w:rsidP="00445571">
      <w:pPr>
        <w:rPr>
          <w:rFonts w:cstheme="majorHAnsi"/>
          <w:szCs w:val="22"/>
        </w:rPr>
      </w:pPr>
    </w:p>
    <w:p w14:paraId="21296D98" w14:textId="4B529D95" w:rsidR="00DA767D" w:rsidRPr="00DA767D" w:rsidRDefault="00DA767D" w:rsidP="00424AED">
      <w:pPr>
        <w:tabs>
          <w:tab w:val="left" w:pos="8130"/>
        </w:tabs>
        <w:rPr>
          <w:rFonts w:cstheme="majorHAnsi"/>
          <w:szCs w:val="22"/>
        </w:rPr>
      </w:pPr>
      <w:r>
        <w:rPr>
          <w:rFonts w:cstheme="majorHAnsi"/>
          <w:szCs w:val="22"/>
        </w:rPr>
        <w:tab/>
      </w:r>
    </w:p>
    <w:sectPr w:rsidR="00DA767D" w:rsidRPr="00DA767D" w:rsidSect="006C66D8">
      <w:footerReference w:type="default" r:id="rId26"/>
      <w:footerReference w:type="first" r:id="rId27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0" w:author="Philippe Angers" w:date="2025-03-18T14:59:00Z" w:initials="PA">
    <w:p w14:paraId="4FD859D8" w14:textId="77777777" w:rsidR="00813ACE" w:rsidRDefault="00813ACE" w:rsidP="0001084C">
      <w:pPr>
        <w:pStyle w:val="Commentaire"/>
      </w:pPr>
      <w:r>
        <w:rPr>
          <w:rStyle w:val="Marquedecommentaire"/>
        </w:rPr>
        <w:annotationRef/>
      </w:r>
      <w:r>
        <w:t>Ajouter uque pour les multi c’Est régler ainsique pour la miunicipalité manquante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FD859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DA481C8" w16cex:dateUtc="2025-03-18T1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D859D8" w16cid:durableId="1DA481C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3C2B3" w14:textId="77777777" w:rsidR="00BE165C" w:rsidRDefault="00BE165C" w:rsidP="00A13266">
      <w:r>
        <w:separator/>
      </w:r>
    </w:p>
  </w:endnote>
  <w:endnote w:type="continuationSeparator" w:id="0">
    <w:p w14:paraId="28F7AB5D" w14:textId="77777777" w:rsidR="00BE165C" w:rsidRDefault="00BE165C" w:rsidP="00A1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DBA02" w14:textId="77777777" w:rsidR="00270E34" w:rsidRDefault="00270E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201D0" w14:textId="27CD13DE" w:rsidR="00C47FD0" w:rsidRPr="00885F09" w:rsidRDefault="00C47FD0" w:rsidP="00A13266">
    <w:pPr>
      <w:pStyle w:val="Pieddepage"/>
      <w:rPr>
        <w:rFonts w:ascii="Tahoma" w:hAnsi="Tahoma" w:cs="Tahoma"/>
      </w:rPr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845F83" wp14:editId="26D4F4C6">
              <wp:simplePos x="0" y="0"/>
              <wp:positionH relativeFrom="margin">
                <wp:posOffset>6192520</wp:posOffset>
              </wp:positionH>
              <wp:positionV relativeFrom="paragraph">
                <wp:posOffset>-2681605</wp:posOffset>
              </wp:positionV>
              <wp:extent cx="358815" cy="360000"/>
              <wp:effectExtent l="0" t="0" r="22225" b="2159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815" cy="360000"/>
                      </a:xfrm>
                      <a:prstGeom prst="rect">
                        <a:avLst/>
                      </a:prstGeom>
                      <a:solidFill>
                        <a:srgbClr val="185FAA"/>
                      </a:solidFill>
                      <a:ln w="6350">
                        <a:solidFill>
                          <a:srgbClr val="185FAA"/>
                        </a:solidFill>
                      </a:ln>
                    </wps:spPr>
                    <wps:txbx>
                      <w:txbxContent>
                        <w:p w14:paraId="68F1F642" w14:textId="77777777" w:rsidR="00C47FD0" w:rsidRPr="00841FCB" w:rsidRDefault="00C47FD0" w:rsidP="00841FCB">
                          <w:pPr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   \* MERGEFORMAT</w:instrTex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845F8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30" type="#_x0000_t202" style="position:absolute;margin-left:487.6pt;margin-top:-211.15pt;width:28.2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" fillcolor="#185faa" strokecolor="#185faa" strokeweight=".5pt">
              <v:textbox>
                <w:txbxContent>
                  <w:p w14:paraId="68F1F642" w14:textId="77777777" w:rsidR="00C47FD0" w:rsidRPr="00841FCB" w:rsidRDefault="00C47FD0" w:rsidP="00841FCB">
                    <w:pPr>
                      <w:rPr>
                        <w:b/>
                        <w:bCs/>
                        <w:color w:val="FFFFFF" w:themeColor="background1"/>
                      </w:rPr>
                    </w:pP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instrText>PAGE   \* MERGEFORMAT</w:instrTex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Pr="00841FCB">
                      <w:rPr>
                        <w:b/>
                        <w:bCs/>
                        <w:color w:val="FFFFFF" w:themeColor="background1"/>
                        <w:lang w:val="fr-FR"/>
                      </w:rPr>
                      <w:t>1</w: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CC3BE52" w14:textId="70F48B0A" w:rsidR="00C47FD0" w:rsidRDefault="00C47FD0" w:rsidP="00A1326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8371" w14:textId="77777777" w:rsidR="00270E34" w:rsidRDefault="00270E3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CF73A" w14:textId="77777777" w:rsidR="00C47FD0" w:rsidRPr="00885F09" w:rsidRDefault="00C47FD0" w:rsidP="00A13266">
    <w:pPr>
      <w:pStyle w:val="Pieddepage"/>
      <w:rPr>
        <w:rFonts w:ascii="Tahoma" w:hAnsi="Tahoma" w:cs="Tahoma"/>
      </w:rPr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71CD43" wp14:editId="6E107740">
              <wp:simplePos x="0" y="0"/>
              <wp:positionH relativeFrom="margin">
                <wp:posOffset>6468745</wp:posOffset>
              </wp:positionH>
              <wp:positionV relativeFrom="paragraph">
                <wp:posOffset>42545</wp:posOffset>
              </wp:positionV>
              <wp:extent cx="358815" cy="360000"/>
              <wp:effectExtent l="0" t="0" r="22225" b="2159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815" cy="360000"/>
                      </a:xfrm>
                      <a:prstGeom prst="rect">
                        <a:avLst/>
                      </a:prstGeom>
                      <a:solidFill>
                        <a:srgbClr val="185FAA"/>
                      </a:solidFill>
                      <a:ln w="6350">
                        <a:solidFill>
                          <a:srgbClr val="185FAA"/>
                        </a:solidFill>
                      </a:ln>
                    </wps:spPr>
                    <wps:txbx>
                      <w:txbxContent>
                        <w:p w14:paraId="0B42660D" w14:textId="77777777" w:rsidR="00C47FD0" w:rsidRPr="00841FCB" w:rsidRDefault="00C47FD0" w:rsidP="00841FCB">
                          <w:pPr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   \* MERGEFORMAT</w:instrTex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9273A5" w:rsidRPr="009273A5">
                            <w:rPr>
                              <w:b/>
                              <w:bCs/>
                              <w:noProof/>
                              <w:color w:val="FFFFFF" w:themeColor="background1"/>
                              <w:lang w:val="fr-FR"/>
                            </w:rPr>
                            <w:t>4</w: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71CD43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1" type="#_x0000_t202" style="position:absolute;margin-left:509.35pt;margin-top:3.35pt;width:28.25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" fillcolor="#185faa" strokecolor="#185faa" strokeweight=".5pt">
              <v:textbox>
                <w:txbxContent>
                  <w:p w14:paraId="0B42660D" w14:textId="77777777" w:rsidR="00C47FD0" w:rsidRPr="00841FCB" w:rsidRDefault="00C47FD0" w:rsidP="00841FCB">
                    <w:pPr>
                      <w:rPr>
                        <w:b/>
                        <w:bCs/>
                        <w:color w:val="FFFFFF" w:themeColor="background1"/>
                      </w:rPr>
                    </w:pP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instrText>PAGE   \* MERGEFORMAT</w:instrTex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9273A5" w:rsidRPr="009273A5">
                      <w:rPr>
                        <w:b/>
                        <w:bCs/>
                        <w:noProof/>
                        <w:color w:val="FFFFFF" w:themeColor="background1"/>
                        <w:lang w:val="fr-FR"/>
                      </w:rPr>
                      <w:t>4</w: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653366" w14:textId="77777777" w:rsidR="00C47FD0" w:rsidRDefault="00C47FD0" w:rsidP="00A13266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3BFE" w14:textId="5A53A487" w:rsidR="00C47FD0" w:rsidRDefault="00C47FD0" w:rsidP="00A13266">
    <w:pPr>
      <w:pStyle w:val="Pieddepag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DBC6A1" wp14:editId="42A1A3BF">
              <wp:simplePos x="0" y="0"/>
              <wp:positionH relativeFrom="margin">
                <wp:align>right</wp:align>
              </wp:positionH>
              <wp:positionV relativeFrom="paragraph">
                <wp:posOffset>-221703</wp:posOffset>
              </wp:positionV>
              <wp:extent cx="360000" cy="360000"/>
              <wp:effectExtent l="0" t="0" r="21590" b="21590"/>
              <wp:wrapNone/>
              <wp:docPr id="11" name="Zone de text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360000"/>
                      </a:xfrm>
                      <a:prstGeom prst="rect">
                        <a:avLst/>
                      </a:prstGeom>
                      <a:solidFill>
                        <a:srgbClr val="185FAA"/>
                      </a:solidFill>
                      <a:ln w="6350">
                        <a:solidFill>
                          <a:srgbClr val="185FAA"/>
                        </a:solidFill>
                      </a:ln>
                    </wps:spPr>
                    <wps:txbx>
                      <w:txbxContent>
                        <w:p w14:paraId="615022CB" w14:textId="18BDAB30" w:rsidR="00C47FD0" w:rsidRPr="00A13266" w:rsidRDefault="00C47FD0" w:rsidP="00A13266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   \* MERGEFORMAT</w:instrText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9273A5" w:rsidRPr="009273A5">
                            <w:rPr>
                              <w:b/>
                              <w:bCs/>
                              <w:noProof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DBC6A1"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4" type="#_x0000_t202" style="position:absolute;margin-left:-22.85pt;margin-top:-17.45pt;width:28.35pt;height:28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" fillcolor="#185faa" strokecolor="#185faa" strokeweight=".5pt">
              <v:textbox>
                <w:txbxContent>
                  <w:p w14:paraId="615022CB" w14:textId="18BDAB30" w:rsidR="00C47FD0" w:rsidRPr="00A13266" w:rsidRDefault="00C47FD0" w:rsidP="00A13266">
                    <w:pPr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instrText>PAGE   \* MERGEFORMAT</w:instrText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9273A5" w:rsidRPr="009273A5">
                      <w:rPr>
                        <w:b/>
                        <w:bCs/>
                        <w:noProof/>
                        <w:color w:val="FFFFFF" w:themeColor="background1"/>
                        <w:lang w:val="fr-FR"/>
                      </w:rPr>
                      <w:t>1</w:t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103B4" w14:textId="16E63F18" w:rsidR="00C47FD0" w:rsidRPr="00885F09" w:rsidRDefault="00C47FD0" w:rsidP="00A13266">
    <w:pPr>
      <w:pStyle w:val="Pieddepage"/>
      <w:rPr>
        <w:rFonts w:ascii="Tahoma" w:hAnsi="Tahoma" w:cs="Tahoma"/>
      </w:rPr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F3203F" wp14:editId="658E1C19">
              <wp:simplePos x="0" y="0"/>
              <wp:positionH relativeFrom="margin">
                <wp:posOffset>11164570</wp:posOffset>
              </wp:positionH>
              <wp:positionV relativeFrom="paragraph">
                <wp:posOffset>2540</wp:posOffset>
              </wp:positionV>
              <wp:extent cx="358815" cy="360000"/>
              <wp:effectExtent l="0" t="0" r="22225" b="2159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815" cy="360000"/>
                      </a:xfrm>
                      <a:prstGeom prst="rect">
                        <a:avLst/>
                      </a:prstGeom>
                      <a:solidFill>
                        <a:srgbClr val="185FAA"/>
                      </a:solidFill>
                      <a:ln w="6350">
                        <a:solidFill>
                          <a:srgbClr val="185FAA"/>
                        </a:solidFill>
                      </a:ln>
                    </wps:spPr>
                    <wps:txbx>
                      <w:txbxContent>
                        <w:p w14:paraId="3428AB97" w14:textId="77777777" w:rsidR="00C47FD0" w:rsidRPr="00841FCB" w:rsidRDefault="00C47FD0" w:rsidP="00841FCB">
                          <w:pPr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   \* MERGEFORMAT</w:instrTex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9273A5" w:rsidRPr="009273A5">
                            <w:rPr>
                              <w:b/>
                              <w:bCs/>
                              <w:noProof/>
                              <w:color w:val="FFFFFF" w:themeColor="background1"/>
                              <w:lang w:val="fr-FR"/>
                            </w:rPr>
                            <w:t>17</w:t>
                          </w:r>
                          <w:r w:rsidRPr="00841FCB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3203F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35" type="#_x0000_t202" style="position:absolute;margin-left:879.1pt;margin-top:.2pt;width:28.2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" fillcolor="#185faa" strokecolor="#185faa" strokeweight=".5pt">
              <v:textbox>
                <w:txbxContent>
                  <w:p w14:paraId="3428AB97" w14:textId="77777777" w:rsidR="00C47FD0" w:rsidRPr="00841FCB" w:rsidRDefault="00C47FD0" w:rsidP="00841FCB">
                    <w:pPr>
                      <w:rPr>
                        <w:b/>
                        <w:bCs/>
                        <w:color w:val="FFFFFF" w:themeColor="background1"/>
                      </w:rPr>
                    </w:pP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instrText>PAGE   \* MERGEFORMAT</w:instrTex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9273A5" w:rsidRPr="009273A5">
                      <w:rPr>
                        <w:b/>
                        <w:bCs/>
                        <w:noProof/>
                        <w:color w:val="FFFFFF" w:themeColor="background1"/>
                        <w:lang w:val="fr-FR"/>
                      </w:rPr>
                      <w:t>17</w:t>
                    </w:r>
                    <w:r w:rsidRPr="00841FCB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B97F085" w14:textId="77777777" w:rsidR="00C47FD0" w:rsidRDefault="00C47FD0" w:rsidP="00A13266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1801" w14:textId="77777777" w:rsidR="00C47FD0" w:rsidRDefault="00C47FD0" w:rsidP="00A13266">
    <w:pPr>
      <w:pStyle w:val="Pieddepag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19BE7F" wp14:editId="65ADE9B2">
              <wp:simplePos x="0" y="0"/>
              <wp:positionH relativeFrom="margin">
                <wp:align>right</wp:align>
              </wp:positionH>
              <wp:positionV relativeFrom="paragraph">
                <wp:posOffset>-221703</wp:posOffset>
              </wp:positionV>
              <wp:extent cx="360000" cy="360000"/>
              <wp:effectExtent l="0" t="0" r="21590" b="2159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000" cy="360000"/>
                      </a:xfrm>
                      <a:prstGeom prst="rect">
                        <a:avLst/>
                      </a:prstGeom>
                      <a:solidFill>
                        <a:srgbClr val="185FAA"/>
                      </a:solidFill>
                      <a:ln w="6350">
                        <a:solidFill>
                          <a:srgbClr val="185FAA"/>
                        </a:solidFill>
                      </a:ln>
                    </wps:spPr>
                    <wps:txbx>
                      <w:txbxContent>
                        <w:p w14:paraId="39063FFB" w14:textId="77777777" w:rsidR="00C47FD0" w:rsidRPr="00A13266" w:rsidRDefault="00C47FD0" w:rsidP="00A13266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   \* MERGEFORMAT</w:instrText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 w:rsidRPr="00A13266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9BE7F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6" type="#_x0000_t202" style="position:absolute;margin-left:-22.85pt;margin-top:-17.45pt;width:28.35pt;height:28.3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" fillcolor="#185faa" strokecolor="#185faa" strokeweight=".5pt">
              <v:textbox>
                <w:txbxContent>
                  <w:p w14:paraId="39063FFB" w14:textId="77777777" w:rsidR="00C47FD0" w:rsidRPr="00A13266" w:rsidRDefault="00C47FD0" w:rsidP="00A13266">
                    <w:pPr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instrText>PAGE   \* MERGEFORMAT</w:instrText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Pr="00A13266">
                      <w:rPr>
                        <w:b/>
                        <w:bCs/>
                        <w:color w:val="FFFFFF" w:themeColor="background1"/>
                        <w:lang w:val="fr-FR"/>
                      </w:rPr>
                      <w:t>1</w:t>
                    </w:r>
                    <w:r w:rsidRPr="00A13266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4C512" w14:textId="77777777" w:rsidR="00BE165C" w:rsidRDefault="00BE165C" w:rsidP="00A13266">
      <w:r>
        <w:separator/>
      </w:r>
    </w:p>
  </w:footnote>
  <w:footnote w:type="continuationSeparator" w:id="0">
    <w:p w14:paraId="05314176" w14:textId="77777777" w:rsidR="00BE165C" w:rsidRDefault="00BE165C" w:rsidP="00A1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9434E" w14:textId="77777777" w:rsidR="00270E34" w:rsidRDefault="00270E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1438F" w14:textId="61125225" w:rsidR="00C47FD0" w:rsidRDefault="00C47FD0" w:rsidP="00A13266">
    <w:pPr>
      <w:pStyle w:val="En-tte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46894379" wp14:editId="1A0F338B">
              <wp:simplePos x="0" y="0"/>
              <wp:positionH relativeFrom="margin">
                <wp:posOffset>175565</wp:posOffset>
              </wp:positionH>
              <wp:positionV relativeFrom="topMargin">
                <wp:posOffset>467649</wp:posOffset>
              </wp:positionV>
              <wp:extent cx="5943600" cy="170815"/>
              <wp:effectExtent l="0" t="0" r="0" b="6350"/>
              <wp:wrapNone/>
              <wp:docPr id="218" name="Zone de text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35D48" w14:textId="78BE61FA" w:rsidR="003C5DF4" w:rsidRPr="00BF7276" w:rsidRDefault="00395C10" w:rsidP="003C5DF4">
                          <w:pPr>
                            <w:ind w:left="567"/>
                          </w:pPr>
                          <w:r>
                            <w:t>Rapport suivi PGMR 202</w:t>
                          </w:r>
                          <w:r w:rsidR="003C5DF4">
                            <w:t>4</w:t>
                          </w:r>
                        </w:p>
                        <w:p w14:paraId="5F4FB321" w14:textId="2E4E15E6" w:rsidR="00C47FD0" w:rsidRPr="00BF7276" w:rsidRDefault="00C47FD0" w:rsidP="00A13266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94379" id="_x0000_t202" coordsize="21600,21600" o:spt="202" path="m,l,21600r21600,l21600,xe">
              <v:stroke joinstyle="miter"/>
              <v:path gradientshapeok="t" o:connecttype="rect"/>
            </v:shapetype>
            <v:shape id="Zone de texte 218" o:spid="_x0000_s1028" type="#_x0000_t202" style="position:absolute;margin-left:13.8pt;margin-top:36.8pt;width:468pt;height:13.45pt;z-index:251652096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" o:allowincell="f" filled="f" stroked="f">
              <v:textbox style="mso-fit-shape-to-text:t" inset=",0,,0">
                <w:txbxContent>
                  <w:p w14:paraId="45235D48" w14:textId="78BE61FA" w:rsidR="003C5DF4" w:rsidRPr="00BF7276" w:rsidRDefault="00395C10" w:rsidP="003C5DF4">
                    <w:pPr>
                      <w:ind w:left="567"/>
                    </w:pPr>
                    <w:r>
                      <w:t>Rapport suivi PGMR 202</w:t>
                    </w:r>
                    <w:r w:rsidR="003C5DF4">
                      <w:t>4</w:t>
                    </w:r>
                  </w:p>
                  <w:p w14:paraId="5F4FB321" w14:textId="2E4E15E6" w:rsidR="00C47FD0" w:rsidRPr="00BF7276" w:rsidRDefault="00C47FD0" w:rsidP="00A13266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0048" behindDoc="0" locked="0" layoutInCell="0" allowOverlap="1" wp14:anchorId="72D6C2DD" wp14:editId="796056E1">
              <wp:simplePos x="0" y="0"/>
              <wp:positionH relativeFrom="page">
                <wp:posOffset>0</wp:posOffset>
              </wp:positionH>
              <wp:positionV relativeFrom="topMargin">
                <wp:posOffset>426530</wp:posOffset>
              </wp:positionV>
              <wp:extent cx="1021080" cy="170815"/>
              <wp:effectExtent l="0" t="0" r="26670" b="25400"/>
              <wp:wrapNone/>
              <wp:docPr id="219" name="Zone de text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080" cy="170815"/>
                      </a:xfrm>
                      <a:prstGeom prst="rect">
                        <a:avLst/>
                      </a:prstGeom>
                      <a:solidFill>
                        <a:srgbClr val="A0C845"/>
                      </a:solidFill>
                      <a:ln>
                        <a:solidFill>
                          <a:srgbClr val="A0C845"/>
                        </a:solidFill>
                      </a:ln>
                    </wps:spPr>
                    <wps:txbx>
                      <w:txbxContent>
                        <w:p w14:paraId="271173D1" w14:textId="77777777" w:rsidR="00C47FD0" w:rsidRPr="00C45F36" w:rsidRDefault="00C47FD0" w:rsidP="00A13266">
                          <w:bookmarkStart w:id="1" w:name="_Hlk27464399"/>
                          <w:bookmarkStart w:id="2" w:name="_Hlk27464400"/>
                          <w:bookmarkStart w:id="3" w:name="_Hlk27464401"/>
                          <w:bookmarkStart w:id="4" w:name="_Hlk27464402"/>
                          <w:bookmarkStart w:id="5" w:name="_Hlk27464403"/>
                          <w:bookmarkStart w:id="6" w:name="_Hlk27464404"/>
                          <w:bookmarkEnd w:id="1"/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D6C2DD" id="Zone de texte 219" o:spid="_x0000_s1029" type="#_x0000_t202" style="position:absolute;margin-left:0;margin-top:33.6pt;width:80.4pt;height:13.4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" o:allowincell="f" fillcolor="#a0c845" strokecolor="#a0c845">
              <v:textbox style="mso-fit-shape-to-text:t" inset=",0,,0">
                <w:txbxContent>
                  <w:p w14:paraId="271173D1" w14:textId="77777777" w:rsidR="00C47FD0" w:rsidRPr="00C45F36" w:rsidRDefault="00C47FD0" w:rsidP="00A13266">
                    <w:bookmarkStart w:id="7" w:name="_Hlk27464399"/>
                    <w:bookmarkStart w:id="8" w:name="_Hlk27464400"/>
                    <w:bookmarkStart w:id="9" w:name="_Hlk27464401"/>
                    <w:bookmarkStart w:id="10" w:name="_Hlk27464402"/>
                    <w:bookmarkStart w:id="11" w:name="_Hlk27464403"/>
                    <w:bookmarkStart w:id="12" w:name="_Hlk27464404"/>
                    <w:bookmarkEnd w:id="7"/>
                    <w:bookmarkEnd w:id="8"/>
                    <w:bookmarkEnd w:id="9"/>
                    <w:bookmarkEnd w:id="10"/>
                    <w:bookmarkEnd w:id="11"/>
                    <w:bookmarkEnd w:id="12"/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1A984DD" w14:textId="469A481B" w:rsidR="00C47FD0" w:rsidRPr="00EE12C6" w:rsidRDefault="00C47FD0" w:rsidP="00A1326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E2792" w14:textId="3575F756" w:rsidR="00C47FD0" w:rsidRPr="00C45F36" w:rsidRDefault="00C47FD0" w:rsidP="00A13266"/>
  <w:p w14:paraId="5E3D905B" w14:textId="73A6D4DF" w:rsidR="00C47FD0" w:rsidRDefault="00C47FD0" w:rsidP="00A1326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20452" w14:textId="77777777" w:rsidR="00C47FD0" w:rsidRPr="00C45F36" w:rsidRDefault="00C47FD0" w:rsidP="00A13266">
    <w:pPr>
      <w:rPr>
        <w:rFonts w:ascii="Tahoma" w:hAnsi="Tahoma" w:cs="Tahoma"/>
        <w:color w:val="FFFFFF" w:themeColor="background1"/>
      </w:rPr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26A34CB4" wp14:editId="1CC1F1CF">
              <wp:simplePos x="0" y="0"/>
              <wp:positionH relativeFrom="margin">
                <wp:posOffset>533400</wp:posOffset>
              </wp:positionH>
              <wp:positionV relativeFrom="topMargin">
                <wp:posOffset>330200</wp:posOffset>
              </wp:positionV>
              <wp:extent cx="6216862" cy="186267"/>
              <wp:effectExtent l="0" t="0" r="0" b="4445"/>
              <wp:wrapNone/>
              <wp:docPr id="9" name="Zone de text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6862" cy="1862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2324F" w14:textId="1D80BE71" w:rsidR="00A732CF" w:rsidRPr="00BF7276" w:rsidRDefault="00C47FD0" w:rsidP="00A732CF">
                          <w:r>
                            <w:t>Rapport</w:t>
                          </w:r>
                          <w:r w:rsidR="00395C10">
                            <w:t xml:space="preserve"> suivi</w:t>
                          </w:r>
                          <w:r>
                            <w:t xml:space="preserve"> PGMR 202</w:t>
                          </w:r>
                          <w:r w:rsidR="00A732CF">
                            <w:t>4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34CB4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32" type="#_x0000_t202" style="position:absolute;margin-left:42pt;margin-top:26pt;width:489.5pt;height:14.6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" o:allowincell="f" filled="f" stroked="f">
              <v:textbox inset=",0,,0">
                <w:txbxContent>
                  <w:p w14:paraId="23F2324F" w14:textId="1D80BE71" w:rsidR="00A732CF" w:rsidRPr="00BF7276" w:rsidRDefault="00C47FD0" w:rsidP="00A732CF">
                    <w:r>
                      <w:t>Rapport</w:t>
                    </w:r>
                    <w:r w:rsidR="00395C10">
                      <w:t xml:space="preserve"> suivi</w:t>
                    </w:r>
                    <w:r>
                      <w:t xml:space="preserve"> PGMR 202</w:t>
                    </w:r>
                    <w:r w:rsidR="00A732CF"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597A823" wp14:editId="2E2407D8">
              <wp:simplePos x="0" y="0"/>
              <wp:positionH relativeFrom="page">
                <wp:align>left</wp:align>
              </wp:positionH>
              <wp:positionV relativeFrom="topMargin">
                <wp:posOffset>286575</wp:posOffset>
              </wp:positionV>
              <wp:extent cx="1021080" cy="170815"/>
              <wp:effectExtent l="0" t="0" r="26670" b="25400"/>
              <wp:wrapNone/>
              <wp:docPr id="10" name="Zone de text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080" cy="170815"/>
                      </a:xfrm>
                      <a:prstGeom prst="rect">
                        <a:avLst/>
                      </a:prstGeom>
                      <a:solidFill>
                        <a:srgbClr val="A0C845"/>
                      </a:solidFill>
                      <a:ln>
                        <a:solidFill>
                          <a:srgbClr val="A0C845"/>
                        </a:solidFill>
                      </a:ln>
                    </wps:spPr>
                    <wps:txbx>
                      <w:txbxContent>
                        <w:p w14:paraId="18E0E666" w14:textId="77777777" w:rsidR="00C47FD0" w:rsidRPr="00C45F36" w:rsidRDefault="00C47FD0" w:rsidP="00A13266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97A823" id="Zone de texte 10" o:spid="_x0000_s1033" type="#_x0000_t202" style="position:absolute;margin-left:0;margin-top:22.55pt;width:80.4pt;height:13.45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" o:allowincell="f" fillcolor="#a0c845" strokecolor="#a0c845">
              <v:textbox style="mso-fit-shape-to-text:t" inset=",0,,0">
                <w:txbxContent>
                  <w:p w14:paraId="18E0E666" w14:textId="77777777" w:rsidR="00C47FD0" w:rsidRPr="00C45F36" w:rsidRDefault="00C47FD0" w:rsidP="00A13266"/>
                </w:txbxContent>
              </v:textbox>
              <w10:wrap anchorx="page" anchory="margin"/>
            </v:shape>
          </w:pict>
        </mc:Fallback>
      </mc:AlternateContent>
    </w:r>
  </w:p>
  <w:p w14:paraId="017CAA70" w14:textId="77777777" w:rsidR="00C47FD0" w:rsidRDefault="00C47FD0" w:rsidP="00A132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4823"/>
    <w:multiLevelType w:val="hybridMultilevel"/>
    <w:tmpl w:val="7258FF9C"/>
    <w:lvl w:ilvl="0" w:tplc="6C9AE6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6A6A6" w:themeColor="background1" w:themeShade="A6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B4A1E"/>
    <w:multiLevelType w:val="hybridMultilevel"/>
    <w:tmpl w:val="59C676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301"/>
    <w:multiLevelType w:val="hybridMultilevel"/>
    <w:tmpl w:val="28BAE732"/>
    <w:lvl w:ilvl="0" w:tplc="6C9AE6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6A6A6" w:themeColor="background1" w:themeShade="A6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D3626"/>
    <w:multiLevelType w:val="hybridMultilevel"/>
    <w:tmpl w:val="79D2104A"/>
    <w:lvl w:ilvl="0" w:tplc="6C9AE6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6A6A6" w:themeColor="background1" w:themeShade="A6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157E7"/>
    <w:multiLevelType w:val="hybridMultilevel"/>
    <w:tmpl w:val="FA30CE2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0168D"/>
    <w:multiLevelType w:val="hybridMultilevel"/>
    <w:tmpl w:val="D9F41D7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C532D"/>
    <w:multiLevelType w:val="multilevel"/>
    <w:tmpl w:val="8334F5E0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9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6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48053932"/>
    <w:multiLevelType w:val="hybridMultilevel"/>
    <w:tmpl w:val="E46A70F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04A57"/>
    <w:multiLevelType w:val="hybridMultilevel"/>
    <w:tmpl w:val="5946512A"/>
    <w:lvl w:ilvl="0" w:tplc="0C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612D21"/>
    <w:multiLevelType w:val="hybridMultilevel"/>
    <w:tmpl w:val="166CAAD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332FD4"/>
    <w:multiLevelType w:val="hybridMultilevel"/>
    <w:tmpl w:val="09DEDD2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29000A"/>
    <w:multiLevelType w:val="hybridMultilevel"/>
    <w:tmpl w:val="382C71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E3D26"/>
    <w:multiLevelType w:val="hybridMultilevel"/>
    <w:tmpl w:val="1464A49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A4A30"/>
    <w:multiLevelType w:val="hybridMultilevel"/>
    <w:tmpl w:val="C6C4E5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5883"/>
    <w:multiLevelType w:val="hybridMultilevel"/>
    <w:tmpl w:val="AED0CF4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4B134C"/>
    <w:multiLevelType w:val="hybridMultilevel"/>
    <w:tmpl w:val="035AFDBA"/>
    <w:lvl w:ilvl="0" w:tplc="0C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E04ADF"/>
    <w:multiLevelType w:val="hybridMultilevel"/>
    <w:tmpl w:val="E9C257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062953">
    <w:abstractNumId w:val="6"/>
  </w:num>
  <w:num w:numId="2" w16cid:durableId="923294195">
    <w:abstractNumId w:val="15"/>
  </w:num>
  <w:num w:numId="3" w16cid:durableId="842160956">
    <w:abstractNumId w:val="3"/>
  </w:num>
  <w:num w:numId="4" w16cid:durableId="177039370">
    <w:abstractNumId w:val="0"/>
  </w:num>
  <w:num w:numId="5" w16cid:durableId="281770873">
    <w:abstractNumId w:val="2"/>
  </w:num>
  <w:num w:numId="6" w16cid:durableId="1752778361">
    <w:abstractNumId w:val="8"/>
  </w:num>
  <w:num w:numId="7" w16cid:durableId="1504591984">
    <w:abstractNumId w:val="9"/>
  </w:num>
  <w:num w:numId="8" w16cid:durableId="1154301411">
    <w:abstractNumId w:val="14"/>
  </w:num>
  <w:num w:numId="9" w16cid:durableId="1445344186">
    <w:abstractNumId w:val="5"/>
  </w:num>
  <w:num w:numId="10" w16cid:durableId="1889948286">
    <w:abstractNumId w:val="12"/>
  </w:num>
  <w:num w:numId="11" w16cid:durableId="735513974">
    <w:abstractNumId w:val="4"/>
  </w:num>
  <w:num w:numId="12" w16cid:durableId="1307323400">
    <w:abstractNumId w:val="11"/>
  </w:num>
  <w:num w:numId="13" w16cid:durableId="1986660310">
    <w:abstractNumId w:val="10"/>
  </w:num>
  <w:num w:numId="14" w16cid:durableId="2128502456">
    <w:abstractNumId w:val="1"/>
  </w:num>
  <w:num w:numId="15" w16cid:durableId="586382954">
    <w:abstractNumId w:val="16"/>
  </w:num>
  <w:num w:numId="16" w16cid:durableId="1708874353">
    <w:abstractNumId w:val="13"/>
  </w:num>
  <w:num w:numId="17" w16cid:durableId="578373221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hilippe Angers">
    <w15:presenceInfo w15:providerId="AD" w15:userId="S::philippe.angers@mrcabitibi.qc.ca::9055cb93-7b78-419d-b512-907843b21c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2A3"/>
    <w:rsid w:val="000029C3"/>
    <w:rsid w:val="00003437"/>
    <w:rsid w:val="00005D14"/>
    <w:rsid w:val="00007776"/>
    <w:rsid w:val="0001084C"/>
    <w:rsid w:val="00013440"/>
    <w:rsid w:val="000135EC"/>
    <w:rsid w:val="00013C52"/>
    <w:rsid w:val="00014C92"/>
    <w:rsid w:val="00015109"/>
    <w:rsid w:val="00017DA2"/>
    <w:rsid w:val="000203A7"/>
    <w:rsid w:val="00022F99"/>
    <w:rsid w:val="000238CB"/>
    <w:rsid w:val="00025A10"/>
    <w:rsid w:val="00025AA4"/>
    <w:rsid w:val="00033658"/>
    <w:rsid w:val="00033C5F"/>
    <w:rsid w:val="000364B1"/>
    <w:rsid w:val="0004187A"/>
    <w:rsid w:val="00042058"/>
    <w:rsid w:val="0004234C"/>
    <w:rsid w:val="00044221"/>
    <w:rsid w:val="00044397"/>
    <w:rsid w:val="000455FA"/>
    <w:rsid w:val="00045D95"/>
    <w:rsid w:val="00047FF8"/>
    <w:rsid w:val="00050096"/>
    <w:rsid w:val="00050BE3"/>
    <w:rsid w:val="00054432"/>
    <w:rsid w:val="00054FD8"/>
    <w:rsid w:val="00063304"/>
    <w:rsid w:val="00065507"/>
    <w:rsid w:val="000700F5"/>
    <w:rsid w:val="0007068A"/>
    <w:rsid w:val="000709A7"/>
    <w:rsid w:val="00070BB8"/>
    <w:rsid w:val="0009590D"/>
    <w:rsid w:val="000A7AD9"/>
    <w:rsid w:val="000B119B"/>
    <w:rsid w:val="000B4F63"/>
    <w:rsid w:val="000B555F"/>
    <w:rsid w:val="000B55DB"/>
    <w:rsid w:val="000B6077"/>
    <w:rsid w:val="000B66EC"/>
    <w:rsid w:val="000C4979"/>
    <w:rsid w:val="000C50E8"/>
    <w:rsid w:val="000C7020"/>
    <w:rsid w:val="000C75E2"/>
    <w:rsid w:val="000D3AC7"/>
    <w:rsid w:val="000D448A"/>
    <w:rsid w:val="000E33E3"/>
    <w:rsid w:val="000E6A9D"/>
    <w:rsid w:val="000F152B"/>
    <w:rsid w:val="000F2157"/>
    <w:rsid w:val="000F6F11"/>
    <w:rsid w:val="000F7CC4"/>
    <w:rsid w:val="00100117"/>
    <w:rsid w:val="00101793"/>
    <w:rsid w:val="00105193"/>
    <w:rsid w:val="001053A5"/>
    <w:rsid w:val="00105D1E"/>
    <w:rsid w:val="00105E0D"/>
    <w:rsid w:val="00105F81"/>
    <w:rsid w:val="00105F87"/>
    <w:rsid w:val="001073F6"/>
    <w:rsid w:val="00111914"/>
    <w:rsid w:val="00115D0F"/>
    <w:rsid w:val="00116A61"/>
    <w:rsid w:val="00121BD6"/>
    <w:rsid w:val="001263D7"/>
    <w:rsid w:val="00127777"/>
    <w:rsid w:val="0013094A"/>
    <w:rsid w:val="001333D6"/>
    <w:rsid w:val="00134E99"/>
    <w:rsid w:val="00135783"/>
    <w:rsid w:val="00145117"/>
    <w:rsid w:val="001479E2"/>
    <w:rsid w:val="00150895"/>
    <w:rsid w:val="0015446A"/>
    <w:rsid w:val="00157E62"/>
    <w:rsid w:val="00161966"/>
    <w:rsid w:val="0016309B"/>
    <w:rsid w:val="00163C22"/>
    <w:rsid w:val="001736B7"/>
    <w:rsid w:val="00177F5E"/>
    <w:rsid w:val="00182981"/>
    <w:rsid w:val="00186A19"/>
    <w:rsid w:val="001943BC"/>
    <w:rsid w:val="001946F7"/>
    <w:rsid w:val="00197CED"/>
    <w:rsid w:val="001A1AC7"/>
    <w:rsid w:val="001A2890"/>
    <w:rsid w:val="001B0E80"/>
    <w:rsid w:val="001B1AA8"/>
    <w:rsid w:val="001B5AFF"/>
    <w:rsid w:val="001B6BFB"/>
    <w:rsid w:val="001C5097"/>
    <w:rsid w:val="001C612A"/>
    <w:rsid w:val="001D2597"/>
    <w:rsid w:val="001D34A9"/>
    <w:rsid w:val="001D51F0"/>
    <w:rsid w:val="001D51F8"/>
    <w:rsid w:val="001E28F8"/>
    <w:rsid w:val="001F03CE"/>
    <w:rsid w:val="001F0A1C"/>
    <w:rsid w:val="001F188E"/>
    <w:rsid w:val="001F2136"/>
    <w:rsid w:val="001F420D"/>
    <w:rsid w:val="001F7FEA"/>
    <w:rsid w:val="002018E9"/>
    <w:rsid w:val="00202111"/>
    <w:rsid w:val="00203F93"/>
    <w:rsid w:val="00204455"/>
    <w:rsid w:val="00211BCD"/>
    <w:rsid w:val="00212DEF"/>
    <w:rsid w:val="00213A63"/>
    <w:rsid w:val="00213D40"/>
    <w:rsid w:val="0022060D"/>
    <w:rsid w:val="00221952"/>
    <w:rsid w:val="00221E7C"/>
    <w:rsid w:val="002223EC"/>
    <w:rsid w:val="0023243F"/>
    <w:rsid w:val="002358FC"/>
    <w:rsid w:val="00236A28"/>
    <w:rsid w:val="0024036F"/>
    <w:rsid w:val="00250370"/>
    <w:rsid w:val="00252D83"/>
    <w:rsid w:val="00262BF0"/>
    <w:rsid w:val="00263119"/>
    <w:rsid w:val="00270E34"/>
    <w:rsid w:val="002740E1"/>
    <w:rsid w:val="00276745"/>
    <w:rsid w:val="00280748"/>
    <w:rsid w:val="00283431"/>
    <w:rsid w:val="00283C4F"/>
    <w:rsid w:val="0028417C"/>
    <w:rsid w:val="00290475"/>
    <w:rsid w:val="0029251D"/>
    <w:rsid w:val="002932A9"/>
    <w:rsid w:val="00294EFC"/>
    <w:rsid w:val="002A46F7"/>
    <w:rsid w:val="002A4B8E"/>
    <w:rsid w:val="002A52E6"/>
    <w:rsid w:val="002B0EF6"/>
    <w:rsid w:val="002B56B4"/>
    <w:rsid w:val="002B5820"/>
    <w:rsid w:val="002C29F4"/>
    <w:rsid w:val="002C3B6E"/>
    <w:rsid w:val="002C4129"/>
    <w:rsid w:val="002C7A5E"/>
    <w:rsid w:val="002D16AB"/>
    <w:rsid w:val="002D25BF"/>
    <w:rsid w:val="002D3699"/>
    <w:rsid w:val="002D57BD"/>
    <w:rsid w:val="002D5E76"/>
    <w:rsid w:val="002D600B"/>
    <w:rsid w:val="002E0027"/>
    <w:rsid w:val="002E1DEC"/>
    <w:rsid w:val="002E3BC6"/>
    <w:rsid w:val="002E52BB"/>
    <w:rsid w:val="002E61CC"/>
    <w:rsid w:val="002E7D0A"/>
    <w:rsid w:val="002F228E"/>
    <w:rsid w:val="002F366F"/>
    <w:rsid w:val="00303189"/>
    <w:rsid w:val="003038C4"/>
    <w:rsid w:val="00307EB7"/>
    <w:rsid w:val="00313448"/>
    <w:rsid w:val="00317EAF"/>
    <w:rsid w:val="00320CCB"/>
    <w:rsid w:val="00323730"/>
    <w:rsid w:val="00324072"/>
    <w:rsid w:val="00324514"/>
    <w:rsid w:val="0032729B"/>
    <w:rsid w:val="00327853"/>
    <w:rsid w:val="00331CF4"/>
    <w:rsid w:val="00332B6D"/>
    <w:rsid w:val="00332F7B"/>
    <w:rsid w:val="00333459"/>
    <w:rsid w:val="00334C68"/>
    <w:rsid w:val="00340E55"/>
    <w:rsid w:val="00342B19"/>
    <w:rsid w:val="00344D07"/>
    <w:rsid w:val="0034541A"/>
    <w:rsid w:val="0034557F"/>
    <w:rsid w:val="003476D3"/>
    <w:rsid w:val="00347CF2"/>
    <w:rsid w:val="00350B36"/>
    <w:rsid w:val="00354379"/>
    <w:rsid w:val="00362807"/>
    <w:rsid w:val="0036342A"/>
    <w:rsid w:val="00364882"/>
    <w:rsid w:val="003648DC"/>
    <w:rsid w:val="003677CD"/>
    <w:rsid w:val="00375350"/>
    <w:rsid w:val="00377D0C"/>
    <w:rsid w:val="0038006D"/>
    <w:rsid w:val="0039376D"/>
    <w:rsid w:val="003949F0"/>
    <w:rsid w:val="00394F89"/>
    <w:rsid w:val="003950CF"/>
    <w:rsid w:val="00395C10"/>
    <w:rsid w:val="0039637B"/>
    <w:rsid w:val="003A29CD"/>
    <w:rsid w:val="003A60ED"/>
    <w:rsid w:val="003B0274"/>
    <w:rsid w:val="003B0A84"/>
    <w:rsid w:val="003B2AC4"/>
    <w:rsid w:val="003B4463"/>
    <w:rsid w:val="003C0A70"/>
    <w:rsid w:val="003C1CE0"/>
    <w:rsid w:val="003C25C6"/>
    <w:rsid w:val="003C3C9A"/>
    <w:rsid w:val="003C5BB3"/>
    <w:rsid w:val="003C5DF4"/>
    <w:rsid w:val="003C648D"/>
    <w:rsid w:val="003C6C1A"/>
    <w:rsid w:val="003D21DC"/>
    <w:rsid w:val="003D4248"/>
    <w:rsid w:val="003D48C8"/>
    <w:rsid w:val="003D5B3B"/>
    <w:rsid w:val="003D666D"/>
    <w:rsid w:val="003D6742"/>
    <w:rsid w:val="003E08EA"/>
    <w:rsid w:val="003E2AA5"/>
    <w:rsid w:val="003E3251"/>
    <w:rsid w:val="003E391B"/>
    <w:rsid w:val="003E530F"/>
    <w:rsid w:val="003F0A6D"/>
    <w:rsid w:val="003F0D5B"/>
    <w:rsid w:val="003F3683"/>
    <w:rsid w:val="003F5AA8"/>
    <w:rsid w:val="003F5D2A"/>
    <w:rsid w:val="003F74D5"/>
    <w:rsid w:val="00403468"/>
    <w:rsid w:val="00403F88"/>
    <w:rsid w:val="00405D43"/>
    <w:rsid w:val="0040604D"/>
    <w:rsid w:val="0041454C"/>
    <w:rsid w:val="0042361D"/>
    <w:rsid w:val="00424AED"/>
    <w:rsid w:val="00430A85"/>
    <w:rsid w:val="00431C7A"/>
    <w:rsid w:val="0043506D"/>
    <w:rsid w:val="004400CA"/>
    <w:rsid w:val="00445571"/>
    <w:rsid w:val="004466CE"/>
    <w:rsid w:val="00453554"/>
    <w:rsid w:val="00455D3F"/>
    <w:rsid w:val="00460EC3"/>
    <w:rsid w:val="00461A1C"/>
    <w:rsid w:val="004655EB"/>
    <w:rsid w:val="0047517A"/>
    <w:rsid w:val="004837EE"/>
    <w:rsid w:val="004870A6"/>
    <w:rsid w:val="00491BE1"/>
    <w:rsid w:val="00492862"/>
    <w:rsid w:val="00492C49"/>
    <w:rsid w:val="00494B74"/>
    <w:rsid w:val="00495E61"/>
    <w:rsid w:val="004B0933"/>
    <w:rsid w:val="004B0CFF"/>
    <w:rsid w:val="004B17FA"/>
    <w:rsid w:val="004B4399"/>
    <w:rsid w:val="004C244C"/>
    <w:rsid w:val="004C52A3"/>
    <w:rsid w:val="004C6196"/>
    <w:rsid w:val="004C7384"/>
    <w:rsid w:val="004D15AA"/>
    <w:rsid w:val="004D2BC2"/>
    <w:rsid w:val="004D2F83"/>
    <w:rsid w:val="004D6B21"/>
    <w:rsid w:val="004D7E8F"/>
    <w:rsid w:val="004E2B1B"/>
    <w:rsid w:val="004E3796"/>
    <w:rsid w:val="004F10D2"/>
    <w:rsid w:val="004F1831"/>
    <w:rsid w:val="004F1F41"/>
    <w:rsid w:val="004F52E4"/>
    <w:rsid w:val="004F61E7"/>
    <w:rsid w:val="004F7019"/>
    <w:rsid w:val="0050165D"/>
    <w:rsid w:val="005065DB"/>
    <w:rsid w:val="005072B5"/>
    <w:rsid w:val="00510DDB"/>
    <w:rsid w:val="00510E18"/>
    <w:rsid w:val="005122C6"/>
    <w:rsid w:val="00516730"/>
    <w:rsid w:val="00517AE5"/>
    <w:rsid w:val="00523932"/>
    <w:rsid w:val="00523FCF"/>
    <w:rsid w:val="0053051B"/>
    <w:rsid w:val="00535780"/>
    <w:rsid w:val="00536B36"/>
    <w:rsid w:val="0053705E"/>
    <w:rsid w:val="00540444"/>
    <w:rsid w:val="005410F4"/>
    <w:rsid w:val="00543260"/>
    <w:rsid w:val="00543CE0"/>
    <w:rsid w:val="00557BD1"/>
    <w:rsid w:val="00561182"/>
    <w:rsid w:val="0056294A"/>
    <w:rsid w:val="005633FD"/>
    <w:rsid w:val="0056553F"/>
    <w:rsid w:val="005656C2"/>
    <w:rsid w:val="00574887"/>
    <w:rsid w:val="00574ACA"/>
    <w:rsid w:val="00583988"/>
    <w:rsid w:val="005843B7"/>
    <w:rsid w:val="00585AFD"/>
    <w:rsid w:val="00586033"/>
    <w:rsid w:val="00586BA9"/>
    <w:rsid w:val="005878E6"/>
    <w:rsid w:val="00593F72"/>
    <w:rsid w:val="00597F5D"/>
    <w:rsid w:val="005A18A2"/>
    <w:rsid w:val="005A31A8"/>
    <w:rsid w:val="005A41FD"/>
    <w:rsid w:val="005A6BDF"/>
    <w:rsid w:val="005A7D62"/>
    <w:rsid w:val="005B3B3F"/>
    <w:rsid w:val="005B4032"/>
    <w:rsid w:val="005B434E"/>
    <w:rsid w:val="005B44B6"/>
    <w:rsid w:val="005B662A"/>
    <w:rsid w:val="005B76EA"/>
    <w:rsid w:val="005C019F"/>
    <w:rsid w:val="005C0B81"/>
    <w:rsid w:val="005C108E"/>
    <w:rsid w:val="005C173D"/>
    <w:rsid w:val="005C3616"/>
    <w:rsid w:val="005C3D08"/>
    <w:rsid w:val="005C3D3A"/>
    <w:rsid w:val="005C5098"/>
    <w:rsid w:val="005C5632"/>
    <w:rsid w:val="005D3374"/>
    <w:rsid w:val="005D5351"/>
    <w:rsid w:val="005D7F80"/>
    <w:rsid w:val="005E4DC3"/>
    <w:rsid w:val="005E7BB1"/>
    <w:rsid w:val="005F0F72"/>
    <w:rsid w:val="005F5DB3"/>
    <w:rsid w:val="00600DDB"/>
    <w:rsid w:val="006112F2"/>
    <w:rsid w:val="0061583E"/>
    <w:rsid w:val="00617483"/>
    <w:rsid w:val="00623F22"/>
    <w:rsid w:val="00625D47"/>
    <w:rsid w:val="00626163"/>
    <w:rsid w:val="006263BE"/>
    <w:rsid w:val="0062671F"/>
    <w:rsid w:val="006313A6"/>
    <w:rsid w:val="00634717"/>
    <w:rsid w:val="00645CD8"/>
    <w:rsid w:val="00646EAA"/>
    <w:rsid w:val="0064798F"/>
    <w:rsid w:val="00651246"/>
    <w:rsid w:val="006536C1"/>
    <w:rsid w:val="00655FF2"/>
    <w:rsid w:val="006568F5"/>
    <w:rsid w:val="00663530"/>
    <w:rsid w:val="006764A9"/>
    <w:rsid w:val="00676875"/>
    <w:rsid w:val="006814AE"/>
    <w:rsid w:val="006816DA"/>
    <w:rsid w:val="00683FA3"/>
    <w:rsid w:val="0069735B"/>
    <w:rsid w:val="006A02A0"/>
    <w:rsid w:val="006A0A17"/>
    <w:rsid w:val="006A662D"/>
    <w:rsid w:val="006B0AEA"/>
    <w:rsid w:val="006B1002"/>
    <w:rsid w:val="006B3CC5"/>
    <w:rsid w:val="006B578F"/>
    <w:rsid w:val="006C33F5"/>
    <w:rsid w:val="006C648A"/>
    <w:rsid w:val="006C66D8"/>
    <w:rsid w:val="006D0C30"/>
    <w:rsid w:val="006D3FB9"/>
    <w:rsid w:val="006E3EFE"/>
    <w:rsid w:val="006E4335"/>
    <w:rsid w:val="006E667A"/>
    <w:rsid w:val="006E7C03"/>
    <w:rsid w:val="006E7E89"/>
    <w:rsid w:val="006F0A8D"/>
    <w:rsid w:val="006F207E"/>
    <w:rsid w:val="006F2B54"/>
    <w:rsid w:val="006F2CDC"/>
    <w:rsid w:val="006F304B"/>
    <w:rsid w:val="006F468B"/>
    <w:rsid w:val="006F5C45"/>
    <w:rsid w:val="006F75E2"/>
    <w:rsid w:val="007001CA"/>
    <w:rsid w:val="007027DF"/>
    <w:rsid w:val="00702BA7"/>
    <w:rsid w:val="00703A83"/>
    <w:rsid w:val="007053B8"/>
    <w:rsid w:val="00705D8D"/>
    <w:rsid w:val="00706889"/>
    <w:rsid w:val="00710342"/>
    <w:rsid w:val="00712F09"/>
    <w:rsid w:val="0071564E"/>
    <w:rsid w:val="00720493"/>
    <w:rsid w:val="00722753"/>
    <w:rsid w:val="00725D55"/>
    <w:rsid w:val="00736BB9"/>
    <w:rsid w:val="00741F26"/>
    <w:rsid w:val="00742D61"/>
    <w:rsid w:val="00746A5D"/>
    <w:rsid w:val="0075184B"/>
    <w:rsid w:val="007622E0"/>
    <w:rsid w:val="00762BEA"/>
    <w:rsid w:val="007756BC"/>
    <w:rsid w:val="0078598D"/>
    <w:rsid w:val="007864F3"/>
    <w:rsid w:val="00790324"/>
    <w:rsid w:val="007909B7"/>
    <w:rsid w:val="007915E5"/>
    <w:rsid w:val="007953ED"/>
    <w:rsid w:val="007973D1"/>
    <w:rsid w:val="00797D74"/>
    <w:rsid w:val="007A0510"/>
    <w:rsid w:val="007A07F3"/>
    <w:rsid w:val="007A1697"/>
    <w:rsid w:val="007A23D9"/>
    <w:rsid w:val="007A37F2"/>
    <w:rsid w:val="007A46FE"/>
    <w:rsid w:val="007A5282"/>
    <w:rsid w:val="007B2EBF"/>
    <w:rsid w:val="007B7693"/>
    <w:rsid w:val="007C3DC2"/>
    <w:rsid w:val="007C3E7F"/>
    <w:rsid w:val="007C796C"/>
    <w:rsid w:val="007D0400"/>
    <w:rsid w:val="007E6A56"/>
    <w:rsid w:val="007E7EE7"/>
    <w:rsid w:val="007F0125"/>
    <w:rsid w:val="007F0C1A"/>
    <w:rsid w:val="007F2443"/>
    <w:rsid w:val="007F3774"/>
    <w:rsid w:val="007F4E26"/>
    <w:rsid w:val="007F5258"/>
    <w:rsid w:val="007F5D74"/>
    <w:rsid w:val="00800982"/>
    <w:rsid w:val="00803110"/>
    <w:rsid w:val="00804C8D"/>
    <w:rsid w:val="00807125"/>
    <w:rsid w:val="00810DE2"/>
    <w:rsid w:val="00812E73"/>
    <w:rsid w:val="00813ACE"/>
    <w:rsid w:val="008157CE"/>
    <w:rsid w:val="008173FF"/>
    <w:rsid w:val="00817987"/>
    <w:rsid w:val="00821333"/>
    <w:rsid w:val="00832F82"/>
    <w:rsid w:val="00836630"/>
    <w:rsid w:val="00841148"/>
    <w:rsid w:val="00841FCB"/>
    <w:rsid w:val="00850DFD"/>
    <w:rsid w:val="00854C9E"/>
    <w:rsid w:val="00866314"/>
    <w:rsid w:val="00882F53"/>
    <w:rsid w:val="00883C3D"/>
    <w:rsid w:val="00883C9B"/>
    <w:rsid w:val="008841E3"/>
    <w:rsid w:val="00885F09"/>
    <w:rsid w:val="0088640B"/>
    <w:rsid w:val="00890958"/>
    <w:rsid w:val="00891C23"/>
    <w:rsid w:val="00897F3B"/>
    <w:rsid w:val="008A0F54"/>
    <w:rsid w:val="008A17EB"/>
    <w:rsid w:val="008A2A48"/>
    <w:rsid w:val="008A44B7"/>
    <w:rsid w:val="008A50FF"/>
    <w:rsid w:val="008A54D5"/>
    <w:rsid w:val="008B00A5"/>
    <w:rsid w:val="008B03F7"/>
    <w:rsid w:val="008B214E"/>
    <w:rsid w:val="008B2F77"/>
    <w:rsid w:val="008B33F5"/>
    <w:rsid w:val="008B46F5"/>
    <w:rsid w:val="008B58CB"/>
    <w:rsid w:val="008C1BAD"/>
    <w:rsid w:val="008C2173"/>
    <w:rsid w:val="008C3BE5"/>
    <w:rsid w:val="008C42DE"/>
    <w:rsid w:val="008C6D99"/>
    <w:rsid w:val="008C72A8"/>
    <w:rsid w:val="008D2EA1"/>
    <w:rsid w:val="008E1E4F"/>
    <w:rsid w:val="008E326C"/>
    <w:rsid w:val="008E4A65"/>
    <w:rsid w:val="008E64DC"/>
    <w:rsid w:val="008E74E5"/>
    <w:rsid w:val="008E772C"/>
    <w:rsid w:val="008F05A2"/>
    <w:rsid w:val="008F1177"/>
    <w:rsid w:val="008F14CB"/>
    <w:rsid w:val="008F25E0"/>
    <w:rsid w:val="008F2810"/>
    <w:rsid w:val="009001D1"/>
    <w:rsid w:val="00901F03"/>
    <w:rsid w:val="00904056"/>
    <w:rsid w:val="009078D6"/>
    <w:rsid w:val="00916A5D"/>
    <w:rsid w:val="00916A73"/>
    <w:rsid w:val="00916C0B"/>
    <w:rsid w:val="0092101E"/>
    <w:rsid w:val="00922228"/>
    <w:rsid w:val="00922238"/>
    <w:rsid w:val="00923757"/>
    <w:rsid w:val="00924B67"/>
    <w:rsid w:val="009273A5"/>
    <w:rsid w:val="00934076"/>
    <w:rsid w:val="00937C00"/>
    <w:rsid w:val="00942792"/>
    <w:rsid w:val="00952F25"/>
    <w:rsid w:val="009541BB"/>
    <w:rsid w:val="00954CE5"/>
    <w:rsid w:val="00955E90"/>
    <w:rsid w:val="00956048"/>
    <w:rsid w:val="009571B1"/>
    <w:rsid w:val="00957C68"/>
    <w:rsid w:val="00965094"/>
    <w:rsid w:val="0097291A"/>
    <w:rsid w:val="00973041"/>
    <w:rsid w:val="00974DAA"/>
    <w:rsid w:val="0097503F"/>
    <w:rsid w:val="0097575C"/>
    <w:rsid w:val="00982175"/>
    <w:rsid w:val="00985970"/>
    <w:rsid w:val="009867DC"/>
    <w:rsid w:val="009873BE"/>
    <w:rsid w:val="0099381D"/>
    <w:rsid w:val="00994776"/>
    <w:rsid w:val="009957B3"/>
    <w:rsid w:val="00995EE7"/>
    <w:rsid w:val="00997C87"/>
    <w:rsid w:val="009A3E59"/>
    <w:rsid w:val="009B2F14"/>
    <w:rsid w:val="009B46AF"/>
    <w:rsid w:val="009B4F21"/>
    <w:rsid w:val="009B605F"/>
    <w:rsid w:val="009B7104"/>
    <w:rsid w:val="009B7336"/>
    <w:rsid w:val="009C0458"/>
    <w:rsid w:val="009C2E4A"/>
    <w:rsid w:val="009C3FF7"/>
    <w:rsid w:val="009C6BB7"/>
    <w:rsid w:val="009D0A0C"/>
    <w:rsid w:val="009D218A"/>
    <w:rsid w:val="009D584E"/>
    <w:rsid w:val="009D7C38"/>
    <w:rsid w:val="009D7E11"/>
    <w:rsid w:val="009E2B10"/>
    <w:rsid w:val="009E354D"/>
    <w:rsid w:val="009F531A"/>
    <w:rsid w:val="009F77D7"/>
    <w:rsid w:val="00A0439F"/>
    <w:rsid w:val="00A051C0"/>
    <w:rsid w:val="00A11412"/>
    <w:rsid w:val="00A12C9B"/>
    <w:rsid w:val="00A13266"/>
    <w:rsid w:val="00A14912"/>
    <w:rsid w:val="00A26DCD"/>
    <w:rsid w:val="00A275C3"/>
    <w:rsid w:val="00A3122D"/>
    <w:rsid w:val="00A33B3D"/>
    <w:rsid w:val="00A4067F"/>
    <w:rsid w:val="00A41DA4"/>
    <w:rsid w:val="00A437F5"/>
    <w:rsid w:val="00A4639A"/>
    <w:rsid w:val="00A5196F"/>
    <w:rsid w:val="00A52DB3"/>
    <w:rsid w:val="00A533C3"/>
    <w:rsid w:val="00A54217"/>
    <w:rsid w:val="00A545A4"/>
    <w:rsid w:val="00A55EBA"/>
    <w:rsid w:val="00A64347"/>
    <w:rsid w:val="00A66559"/>
    <w:rsid w:val="00A732CF"/>
    <w:rsid w:val="00A760C7"/>
    <w:rsid w:val="00A768F6"/>
    <w:rsid w:val="00A82833"/>
    <w:rsid w:val="00A841D5"/>
    <w:rsid w:val="00A8453B"/>
    <w:rsid w:val="00A8470E"/>
    <w:rsid w:val="00A9106D"/>
    <w:rsid w:val="00A93AF6"/>
    <w:rsid w:val="00AA0F13"/>
    <w:rsid w:val="00AB03CF"/>
    <w:rsid w:val="00AB3D5E"/>
    <w:rsid w:val="00AC3B22"/>
    <w:rsid w:val="00AC4DF4"/>
    <w:rsid w:val="00AD2513"/>
    <w:rsid w:val="00AD3FA5"/>
    <w:rsid w:val="00AD452D"/>
    <w:rsid w:val="00AD48C5"/>
    <w:rsid w:val="00AD544E"/>
    <w:rsid w:val="00AD5F9A"/>
    <w:rsid w:val="00AD76B0"/>
    <w:rsid w:val="00AD784B"/>
    <w:rsid w:val="00AE1296"/>
    <w:rsid w:val="00AE1468"/>
    <w:rsid w:val="00AE29AD"/>
    <w:rsid w:val="00AE29B8"/>
    <w:rsid w:val="00AE3107"/>
    <w:rsid w:val="00AE32AC"/>
    <w:rsid w:val="00AE7748"/>
    <w:rsid w:val="00AF000C"/>
    <w:rsid w:val="00AF0DF8"/>
    <w:rsid w:val="00B01883"/>
    <w:rsid w:val="00B0795A"/>
    <w:rsid w:val="00B11DB5"/>
    <w:rsid w:val="00B15553"/>
    <w:rsid w:val="00B15F60"/>
    <w:rsid w:val="00B16AB8"/>
    <w:rsid w:val="00B1766B"/>
    <w:rsid w:val="00B2099D"/>
    <w:rsid w:val="00B21947"/>
    <w:rsid w:val="00B23A63"/>
    <w:rsid w:val="00B342D2"/>
    <w:rsid w:val="00B34AB4"/>
    <w:rsid w:val="00B405A4"/>
    <w:rsid w:val="00B45D83"/>
    <w:rsid w:val="00B46377"/>
    <w:rsid w:val="00B5755A"/>
    <w:rsid w:val="00B6350C"/>
    <w:rsid w:val="00B664AC"/>
    <w:rsid w:val="00B66737"/>
    <w:rsid w:val="00B714DE"/>
    <w:rsid w:val="00B716CA"/>
    <w:rsid w:val="00B8021C"/>
    <w:rsid w:val="00B84857"/>
    <w:rsid w:val="00B861CB"/>
    <w:rsid w:val="00B868D1"/>
    <w:rsid w:val="00B86E5E"/>
    <w:rsid w:val="00B87284"/>
    <w:rsid w:val="00B90367"/>
    <w:rsid w:val="00B936A9"/>
    <w:rsid w:val="00B95C7A"/>
    <w:rsid w:val="00BA01E9"/>
    <w:rsid w:val="00BA6511"/>
    <w:rsid w:val="00BA66A3"/>
    <w:rsid w:val="00BB18EB"/>
    <w:rsid w:val="00BB2FCC"/>
    <w:rsid w:val="00BB4E2F"/>
    <w:rsid w:val="00BB692A"/>
    <w:rsid w:val="00BB733E"/>
    <w:rsid w:val="00BB73F5"/>
    <w:rsid w:val="00BB79F3"/>
    <w:rsid w:val="00BC1048"/>
    <w:rsid w:val="00BC1FBE"/>
    <w:rsid w:val="00BC290D"/>
    <w:rsid w:val="00BC344E"/>
    <w:rsid w:val="00BC6732"/>
    <w:rsid w:val="00BD265F"/>
    <w:rsid w:val="00BD2890"/>
    <w:rsid w:val="00BD2ACA"/>
    <w:rsid w:val="00BD4646"/>
    <w:rsid w:val="00BD570F"/>
    <w:rsid w:val="00BD7747"/>
    <w:rsid w:val="00BE165C"/>
    <w:rsid w:val="00BE47FB"/>
    <w:rsid w:val="00BE4A5C"/>
    <w:rsid w:val="00BE6C51"/>
    <w:rsid w:val="00BE76DD"/>
    <w:rsid w:val="00BF0DA7"/>
    <w:rsid w:val="00BF1063"/>
    <w:rsid w:val="00BF1BA9"/>
    <w:rsid w:val="00BF7276"/>
    <w:rsid w:val="00BF73DD"/>
    <w:rsid w:val="00C03E0B"/>
    <w:rsid w:val="00C04FBA"/>
    <w:rsid w:val="00C05D9C"/>
    <w:rsid w:val="00C12DDD"/>
    <w:rsid w:val="00C1458A"/>
    <w:rsid w:val="00C17493"/>
    <w:rsid w:val="00C17EE1"/>
    <w:rsid w:val="00C20208"/>
    <w:rsid w:val="00C2262D"/>
    <w:rsid w:val="00C23316"/>
    <w:rsid w:val="00C23BB7"/>
    <w:rsid w:val="00C23F7B"/>
    <w:rsid w:val="00C27E02"/>
    <w:rsid w:val="00C312FD"/>
    <w:rsid w:val="00C322B7"/>
    <w:rsid w:val="00C41D23"/>
    <w:rsid w:val="00C47FD0"/>
    <w:rsid w:val="00C51400"/>
    <w:rsid w:val="00C52F9C"/>
    <w:rsid w:val="00C538D5"/>
    <w:rsid w:val="00C53B7A"/>
    <w:rsid w:val="00C55659"/>
    <w:rsid w:val="00C56CD5"/>
    <w:rsid w:val="00C57B39"/>
    <w:rsid w:val="00C60D9B"/>
    <w:rsid w:val="00C622A8"/>
    <w:rsid w:val="00C625CE"/>
    <w:rsid w:val="00C6499D"/>
    <w:rsid w:val="00C65DC6"/>
    <w:rsid w:val="00C661B2"/>
    <w:rsid w:val="00C70E02"/>
    <w:rsid w:val="00C71115"/>
    <w:rsid w:val="00C732B4"/>
    <w:rsid w:val="00C73B92"/>
    <w:rsid w:val="00C76B6C"/>
    <w:rsid w:val="00C83775"/>
    <w:rsid w:val="00C83D93"/>
    <w:rsid w:val="00C83E01"/>
    <w:rsid w:val="00C879BC"/>
    <w:rsid w:val="00C87C28"/>
    <w:rsid w:val="00C904B2"/>
    <w:rsid w:val="00C90733"/>
    <w:rsid w:val="00C90CDD"/>
    <w:rsid w:val="00C93425"/>
    <w:rsid w:val="00CA28BF"/>
    <w:rsid w:val="00CA2CAD"/>
    <w:rsid w:val="00CA33FC"/>
    <w:rsid w:val="00CA44B4"/>
    <w:rsid w:val="00CB0693"/>
    <w:rsid w:val="00CB3FBF"/>
    <w:rsid w:val="00CB4EE4"/>
    <w:rsid w:val="00CC0F76"/>
    <w:rsid w:val="00CC4453"/>
    <w:rsid w:val="00CC5BAD"/>
    <w:rsid w:val="00CD0660"/>
    <w:rsid w:val="00CD07B5"/>
    <w:rsid w:val="00CD25BB"/>
    <w:rsid w:val="00CD3467"/>
    <w:rsid w:val="00CD7C50"/>
    <w:rsid w:val="00CE2E6D"/>
    <w:rsid w:val="00CF1F39"/>
    <w:rsid w:val="00CF3562"/>
    <w:rsid w:val="00CF3F05"/>
    <w:rsid w:val="00CF54F0"/>
    <w:rsid w:val="00D0300C"/>
    <w:rsid w:val="00D04E91"/>
    <w:rsid w:val="00D07BED"/>
    <w:rsid w:val="00D17341"/>
    <w:rsid w:val="00D17404"/>
    <w:rsid w:val="00D17D9A"/>
    <w:rsid w:val="00D20CC4"/>
    <w:rsid w:val="00D21527"/>
    <w:rsid w:val="00D232FB"/>
    <w:rsid w:val="00D23BF9"/>
    <w:rsid w:val="00D26EAA"/>
    <w:rsid w:val="00D3448E"/>
    <w:rsid w:val="00D345B8"/>
    <w:rsid w:val="00D34E29"/>
    <w:rsid w:val="00D43264"/>
    <w:rsid w:val="00D46EF7"/>
    <w:rsid w:val="00D47CAA"/>
    <w:rsid w:val="00D53FEF"/>
    <w:rsid w:val="00D61ECE"/>
    <w:rsid w:val="00D62B28"/>
    <w:rsid w:val="00D6332C"/>
    <w:rsid w:val="00D711D7"/>
    <w:rsid w:val="00D7466F"/>
    <w:rsid w:val="00D826DB"/>
    <w:rsid w:val="00D83E5C"/>
    <w:rsid w:val="00D847C5"/>
    <w:rsid w:val="00D87089"/>
    <w:rsid w:val="00D9089E"/>
    <w:rsid w:val="00D94909"/>
    <w:rsid w:val="00D95D0C"/>
    <w:rsid w:val="00D9615D"/>
    <w:rsid w:val="00D978F6"/>
    <w:rsid w:val="00DA05FD"/>
    <w:rsid w:val="00DA19F4"/>
    <w:rsid w:val="00DA68C4"/>
    <w:rsid w:val="00DA703E"/>
    <w:rsid w:val="00DA767D"/>
    <w:rsid w:val="00DA7C98"/>
    <w:rsid w:val="00DB112C"/>
    <w:rsid w:val="00DC5B25"/>
    <w:rsid w:val="00DC7FA5"/>
    <w:rsid w:val="00DD1171"/>
    <w:rsid w:val="00DD5FBD"/>
    <w:rsid w:val="00DE09D7"/>
    <w:rsid w:val="00DE2DCE"/>
    <w:rsid w:val="00DE485B"/>
    <w:rsid w:val="00DE4D5D"/>
    <w:rsid w:val="00DE593B"/>
    <w:rsid w:val="00DF729A"/>
    <w:rsid w:val="00E0399A"/>
    <w:rsid w:val="00E07D76"/>
    <w:rsid w:val="00E116EB"/>
    <w:rsid w:val="00E11B12"/>
    <w:rsid w:val="00E12169"/>
    <w:rsid w:val="00E14716"/>
    <w:rsid w:val="00E21CA7"/>
    <w:rsid w:val="00E32239"/>
    <w:rsid w:val="00E32567"/>
    <w:rsid w:val="00E41AA1"/>
    <w:rsid w:val="00E4573B"/>
    <w:rsid w:val="00E4758C"/>
    <w:rsid w:val="00E4778E"/>
    <w:rsid w:val="00E5011B"/>
    <w:rsid w:val="00E50248"/>
    <w:rsid w:val="00E540ED"/>
    <w:rsid w:val="00E609AA"/>
    <w:rsid w:val="00E61C1B"/>
    <w:rsid w:val="00E62631"/>
    <w:rsid w:val="00E63164"/>
    <w:rsid w:val="00E66ACC"/>
    <w:rsid w:val="00E671F3"/>
    <w:rsid w:val="00E677C2"/>
    <w:rsid w:val="00E72EE0"/>
    <w:rsid w:val="00E77091"/>
    <w:rsid w:val="00E823FB"/>
    <w:rsid w:val="00E95E80"/>
    <w:rsid w:val="00EA3BEE"/>
    <w:rsid w:val="00EA53A5"/>
    <w:rsid w:val="00EB0CCB"/>
    <w:rsid w:val="00EB221E"/>
    <w:rsid w:val="00EB22EE"/>
    <w:rsid w:val="00EB2B0E"/>
    <w:rsid w:val="00EB3AA1"/>
    <w:rsid w:val="00EB45D5"/>
    <w:rsid w:val="00EC015C"/>
    <w:rsid w:val="00EC0ABE"/>
    <w:rsid w:val="00EC4025"/>
    <w:rsid w:val="00ED6679"/>
    <w:rsid w:val="00ED7401"/>
    <w:rsid w:val="00ED7C57"/>
    <w:rsid w:val="00EE0516"/>
    <w:rsid w:val="00EE12C6"/>
    <w:rsid w:val="00EE163A"/>
    <w:rsid w:val="00EE2D1A"/>
    <w:rsid w:val="00EE3CBE"/>
    <w:rsid w:val="00EE3ED4"/>
    <w:rsid w:val="00EE7BA7"/>
    <w:rsid w:val="00EF03BA"/>
    <w:rsid w:val="00EF3D6A"/>
    <w:rsid w:val="00EF4A18"/>
    <w:rsid w:val="00F00B6E"/>
    <w:rsid w:val="00F033DB"/>
    <w:rsid w:val="00F045BB"/>
    <w:rsid w:val="00F110C6"/>
    <w:rsid w:val="00F15071"/>
    <w:rsid w:val="00F254B7"/>
    <w:rsid w:val="00F33E9F"/>
    <w:rsid w:val="00F35FED"/>
    <w:rsid w:val="00F3769B"/>
    <w:rsid w:val="00F4241D"/>
    <w:rsid w:val="00F43229"/>
    <w:rsid w:val="00F442CB"/>
    <w:rsid w:val="00F44E60"/>
    <w:rsid w:val="00F45735"/>
    <w:rsid w:val="00F45CDE"/>
    <w:rsid w:val="00F47470"/>
    <w:rsid w:val="00F47B12"/>
    <w:rsid w:val="00F52929"/>
    <w:rsid w:val="00F53BB4"/>
    <w:rsid w:val="00F55264"/>
    <w:rsid w:val="00F55D02"/>
    <w:rsid w:val="00F56D55"/>
    <w:rsid w:val="00F60D07"/>
    <w:rsid w:val="00F64B95"/>
    <w:rsid w:val="00F6505C"/>
    <w:rsid w:val="00F6564C"/>
    <w:rsid w:val="00F657A1"/>
    <w:rsid w:val="00F65D79"/>
    <w:rsid w:val="00F706F9"/>
    <w:rsid w:val="00F727EC"/>
    <w:rsid w:val="00F73809"/>
    <w:rsid w:val="00F827C5"/>
    <w:rsid w:val="00F84511"/>
    <w:rsid w:val="00F862F6"/>
    <w:rsid w:val="00F8788D"/>
    <w:rsid w:val="00F9053A"/>
    <w:rsid w:val="00F91DA7"/>
    <w:rsid w:val="00F95E6F"/>
    <w:rsid w:val="00F95EF0"/>
    <w:rsid w:val="00F96F8E"/>
    <w:rsid w:val="00FA1702"/>
    <w:rsid w:val="00FA1E6A"/>
    <w:rsid w:val="00FA29C5"/>
    <w:rsid w:val="00FA4FEC"/>
    <w:rsid w:val="00FB097B"/>
    <w:rsid w:val="00FB36EA"/>
    <w:rsid w:val="00FB73C8"/>
    <w:rsid w:val="00FC06B0"/>
    <w:rsid w:val="00FC1A71"/>
    <w:rsid w:val="00FC4105"/>
    <w:rsid w:val="00FC57E8"/>
    <w:rsid w:val="00FC5838"/>
    <w:rsid w:val="00FC70CC"/>
    <w:rsid w:val="00FD0553"/>
    <w:rsid w:val="00FD0D7A"/>
    <w:rsid w:val="00FD1CBE"/>
    <w:rsid w:val="00FD3EEA"/>
    <w:rsid w:val="00FD4A66"/>
    <w:rsid w:val="00FD6466"/>
    <w:rsid w:val="00FD695C"/>
    <w:rsid w:val="00FD7AC9"/>
    <w:rsid w:val="00FE01C5"/>
    <w:rsid w:val="00FE30DF"/>
    <w:rsid w:val="00FE355E"/>
    <w:rsid w:val="00FF038D"/>
    <w:rsid w:val="00FF2BE4"/>
    <w:rsid w:val="00FF388D"/>
    <w:rsid w:val="00FF5B3A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F428"/>
  <w15:chartTrackingRefBased/>
  <w15:docId w15:val="{61B37C10-CB51-4AB1-B99E-ABB32D0E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58"/>
    <w:rPr>
      <w:rFonts w:asciiTheme="majorHAnsi" w:hAnsiTheme="majorHAnsi"/>
      <w:sz w:val="22"/>
      <w:szCs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AE32AC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E32AC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32AC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4C52A3"/>
    <w:pPr>
      <w:ind w:left="720"/>
      <w:contextualSpacing/>
    </w:pPr>
  </w:style>
  <w:style w:type="table" w:styleId="Grilledutableau">
    <w:name w:val="Table Grid"/>
    <w:basedOn w:val="TableauNormal"/>
    <w:uiPriority w:val="59"/>
    <w:rsid w:val="00023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2777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27777"/>
  </w:style>
  <w:style w:type="paragraph" w:styleId="Pieddepage">
    <w:name w:val="footer"/>
    <w:basedOn w:val="Normal"/>
    <w:link w:val="PieddepageCar"/>
    <w:uiPriority w:val="99"/>
    <w:unhideWhenUsed/>
    <w:rsid w:val="0012777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7777"/>
  </w:style>
  <w:style w:type="character" w:styleId="Lienhypertexte">
    <w:name w:val="Hyperlink"/>
    <w:basedOn w:val="Policepardfaut"/>
    <w:uiPriority w:val="99"/>
    <w:unhideWhenUsed/>
    <w:rsid w:val="00213A6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13A63"/>
    <w:rPr>
      <w:color w:val="954F72" w:themeColor="followedHyperlink"/>
      <w:u w:val="single"/>
    </w:rPr>
  </w:style>
  <w:style w:type="paragraph" w:styleId="Corpsdetexte">
    <w:name w:val="Body Text"/>
    <w:basedOn w:val="Normal"/>
    <w:link w:val="CorpsdetexteCar"/>
    <w:semiHidden/>
    <w:unhideWhenUsed/>
    <w:qFormat/>
    <w:rsid w:val="00922228"/>
    <w:pPr>
      <w:tabs>
        <w:tab w:val="left" w:pos="-1440"/>
        <w:tab w:val="left" w:pos="-72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113"/>
      <w:jc w:val="both"/>
    </w:pPr>
    <w:rPr>
      <w:rFonts w:ascii="Helvetica" w:eastAsia="Times New Roman" w:hAnsi="Helvetica"/>
      <w:color w:val="00000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922228"/>
    <w:rPr>
      <w:rFonts w:ascii="Helvetica" w:eastAsia="Times New Roman" w:hAnsi="Helvetica"/>
      <w:color w:val="000000"/>
      <w:sz w:val="22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55264"/>
    <w:pPr>
      <w:numPr>
        <w:ilvl w:val="1"/>
      </w:numPr>
      <w:spacing w:after="160"/>
      <w:ind w:left="567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F5526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97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979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Paragraphedeliste"/>
    <w:link w:val="Style1Car"/>
    <w:qFormat/>
    <w:rsid w:val="00A13266"/>
    <w:pPr>
      <w:numPr>
        <w:numId w:val="1"/>
      </w:numPr>
      <w:tabs>
        <w:tab w:val="left" w:pos="2694"/>
      </w:tabs>
      <w:jc w:val="both"/>
    </w:pPr>
    <w:rPr>
      <w:rFonts w:cs="Segoe UI"/>
      <w:b/>
      <w:color w:val="185FAA"/>
      <w:sz w:val="32"/>
      <w:szCs w:val="22"/>
    </w:rPr>
  </w:style>
  <w:style w:type="paragraph" w:customStyle="1" w:styleId="Style2">
    <w:name w:val="Style2"/>
    <w:basedOn w:val="Normal"/>
    <w:link w:val="Style2Car"/>
    <w:qFormat/>
    <w:rsid w:val="00841FCB"/>
    <w:pPr>
      <w:tabs>
        <w:tab w:val="left" w:pos="595"/>
      </w:tabs>
      <w:spacing w:before="240"/>
      <w:jc w:val="both"/>
    </w:pPr>
    <w:rPr>
      <w:rFonts w:cs="Segoe UI"/>
      <w:color w:val="185FAA"/>
      <w:sz w:val="28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11BCD"/>
  </w:style>
  <w:style w:type="character" w:customStyle="1" w:styleId="Style1Car">
    <w:name w:val="Style1 Car"/>
    <w:basedOn w:val="ParagraphedelisteCar"/>
    <w:link w:val="Style1"/>
    <w:rsid w:val="00A13266"/>
    <w:rPr>
      <w:rFonts w:asciiTheme="majorHAnsi" w:hAnsiTheme="majorHAnsi" w:cs="Segoe UI"/>
      <w:b/>
      <w:color w:val="185FAA"/>
      <w:sz w:val="32"/>
      <w:szCs w:val="22"/>
    </w:rPr>
  </w:style>
  <w:style w:type="paragraph" w:customStyle="1" w:styleId="Style3">
    <w:name w:val="Style3"/>
    <w:basedOn w:val="Paragraphedeliste"/>
    <w:link w:val="Style3Car"/>
    <w:qFormat/>
    <w:rsid w:val="00252D83"/>
    <w:pPr>
      <w:spacing w:after="160" w:line="259" w:lineRule="auto"/>
      <w:ind w:left="567"/>
    </w:pPr>
    <w:rPr>
      <w:b/>
    </w:rPr>
  </w:style>
  <w:style w:type="character" w:customStyle="1" w:styleId="Style2Car">
    <w:name w:val="Style2 Car"/>
    <w:basedOn w:val="Policepardfaut"/>
    <w:link w:val="Style2"/>
    <w:rsid w:val="00841FCB"/>
    <w:rPr>
      <w:rFonts w:asciiTheme="majorHAnsi" w:hAnsiTheme="majorHAnsi" w:cs="Segoe UI"/>
      <w:color w:val="185FAA"/>
      <w:sz w:val="28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AE32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yle3Car">
    <w:name w:val="Style3 Car"/>
    <w:basedOn w:val="ParagraphedelisteCar"/>
    <w:link w:val="Style3"/>
    <w:rsid w:val="00252D83"/>
    <w:rPr>
      <w:rFonts w:asciiTheme="majorHAnsi" w:hAnsiTheme="majorHAnsi"/>
      <w:b/>
      <w:sz w:val="22"/>
    </w:rPr>
  </w:style>
  <w:style w:type="character" w:customStyle="1" w:styleId="Titre2Car">
    <w:name w:val="Titre 2 Car"/>
    <w:basedOn w:val="Policepardfaut"/>
    <w:link w:val="Titre2"/>
    <w:uiPriority w:val="9"/>
    <w:rsid w:val="00AE32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E32A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F55D02"/>
    <w:pPr>
      <w:tabs>
        <w:tab w:val="right" w:leader="dot" w:pos="10790"/>
      </w:tabs>
      <w:spacing w:after="240"/>
      <w:ind w:left="1134" w:right="414" w:hanging="567"/>
    </w:pPr>
  </w:style>
  <w:style w:type="table" w:customStyle="1" w:styleId="Grilledutableau1">
    <w:name w:val="Grille du tableau1"/>
    <w:basedOn w:val="TableauNormal"/>
    <w:next w:val="Grilledutableau"/>
    <w:uiPriority w:val="59"/>
    <w:rsid w:val="008C6D99"/>
    <w:rPr>
      <w:rFonts w:eastAsia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E1D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1DE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1DEC"/>
    <w:rPr>
      <w:rFonts w:asciiTheme="majorHAnsi" w:hAnsiTheme="majorHAns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1DE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1DEC"/>
    <w:rPr>
      <w:rFonts w:asciiTheme="majorHAnsi" w:hAnsiTheme="majorHAnsi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01F03"/>
    <w:rPr>
      <w:rFonts w:asciiTheme="majorHAnsi" w:hAnsiTheme="majorHAns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1413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5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43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commentsExtended" Target="commentsExtended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omments" Target="comments.xml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619f174-0f53-4559-96ba-dbb1ae8f5954" xsi:nil="true"/>
    <lcf76f155ced4ddcb4097134ff3c332f xmlns="4224afda-41f1-46e7-b5ce-ae940fe47e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589F14F6D08449A63D30D5A276F25" ma:contentTypeVersion="15" ma:contentTypeDescription="Crée un document." ma:contentTypeScope="" ma:versionID="f6ec5ae8d72cd7acebd8f97d1b0fcd7f">
  <xsd:schema xmlns:xsd="http://www.w3.org/2001/XMLSchema" xmlns:xs="http://www.w3.org/2001/XMLSchema" xmlns:p="http://schemas.microsoft.com/office/2006/metadata/properties" xmlns:ns2="a619f174-0f53-4559-96ba-dbb1ae8f5954" xmlns:ns3="4224afda-41f1-46e7-b5ce-ae940fe47ef5" targetNamespace="http://schemas.microsoft.com/office/2006/metadata/properties" ma:root="true" ma:fieldsID="db01c6b8052154abf406a6183dba8c14" ns2:_="" ns3:_="">
    <xsd:import namespace="a619f174-0f53-4559-96ba-dbb1ae8f5954"/>
    <xsd:import namespace="4224afda-41f1-46e7-b5ce-ae940fe47e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9f174-0f53-4559-96ba-dbb1ae8f595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56912c-bd47-4f4f-9d29-624c7f3b0c63}" ma:internalName="TaxCatchAll" ma:showField="CatchAllData" ma:web="a619f174-0f53-4559-96ba-dbb1ae8f5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24afda-41f1-46e7-b5ce-ae940fe47e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3d37a64-7a81-453b-8f05-aac9d02acd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5DCEE-C7C9-4E59-AEF0-7DA76B834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8D2F1-CB9A-4913-98C6-DC298831AF98}">
  <ds:schemaRefs>
    <ds:schemaRef ds:uri="http://schemas.microsoft.com/office/2006/metadata/properties"/>
    <ds:schemaRef ds:uri="http://schemas.microsoft.com/office/infopath/2007/PartnerControls"/>
    <ds:schemaRef ds:uri="967e3a10-2f9a-4005-8db0-5e44d3d92e4d"/>
  </ds:schemaRefs>
</ds:datastoreItem>
</file>

<file path=customXml/itemProps3.xml><?xml version="1.0" encoding="utf-8"?>
<ds:datastoreItem xmlns:ds="http://schemas.openxmlformats.org/officeDocument/2006/customXml" ds:itemID="{DAC77B15-7605-4B92-B535-43BB504C72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45F00B-20DF-4BB5-8A7F-B3D01E70B1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</Pages>
  <Words>1720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Cadieux</dc:creator>
  <cp:keywords/>
  <dc:description/>
  <cp:lastModifiedBy>Mathieu Marseille</cp:lastModifiedBy>
  <cp:revision>25</cp:revision>
  <cp:lastPrinted>2024-06-04T17:29:00Z</cp:lastPrinted>
  <dcterms:created xsi:type="dcterms:W3CDTF">2024-06-04T15:12:00Z</dcterms:created>
  <dcterms:modified xsi:type="dcterms:W3CDTF">2025-05-13T18:04:00Z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0x0101004B4589F14F6D08449A63D30D5A276F25</vt:lpwstr>
  </property>
  <property fmtid="{D5CDD505-2E9C-101B-9397-08002B2CF9AE}" pid="3" name="Order">
    <vt:r8>2493600</vt:r8>
  </property>
</Properties>
</file>