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C059" w14:textId="3341B2BF" w:rsidR="007A7ABD" w:rsidRDefault="007A7ABD" w:rsidP="007A7ABD">
      <w:pPr>
        <w:pStyle w:val="Corpsdetexte"/>
        <w:keepNext/>
        <w:keepLines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EXEMPLE DE PROJET DE RÉSOLUTION VISANT À ADOPTER UN PROJET DE PGMR</w:t>
      </w:r>
      <w:r w:rsidRPr="001B6344">
        <w:rPr>
          <w:rFonts w:ascii="Calibri" w:hAnsi="Calibri"/>
          <w:szCs w:val="24"/>
        </w:rPr>
        <w:t xml:space="preserve"> (article 53.</w:t>
      </w:r>
      <w:r>
        <w:rPr>
          <w:rFonts w:ascii="Calibri" w:hAnsi="Calibri"/>
          <w:szCs w:val="24"/>
        </w:rPr>
        <w:t>11 </w:t>
      </w:r>
      <w:r w:rsidRPr="001B6344">
        <w:rPr>
          <w:rFonts w:ascii="Calibri" w:hAnsi="Calibri"/>
          <w:szCs w:val="24"/>
        </w:rPr>
        <w:t>LQE)</w:t>
      </w:r>
    </w:p>
    <w:p w14:paraId="2EAA7E00" w14:textId="77777777" w:rsidR="0011654D" w:rsidRDefault="0011654D" w:rsidP="00A2411E">
      <w:pPr>
        <w:rPr>
          <w:rFonts w:ascii="Calibri" w:hAnsi="Calibri"/>
          <w:highlight w:val="yellow"/>
          <w:lang w:eastAsia="en-US"/>
        </w:rPr>
      </w:pPr>
    </w:p>
    <w:p w14:paraId="5DB09798" w14:textId="77777777" w:rsidR="0011654D" w:rsidRDefault="0011654D" w:rsidP="00A2411E">
      <w:pPr>
        <w:rPr>
          <w:rFonts w:ascii="Calibri" w:hAnsi="Calibri"/>
          <w:highlight w:val="yellow"/>
          <w:lang w:eastAsia="en-US"/>
        </w:rPr>
      </w:pPr>
    </w:p>
    <w:p w14:paraId="5AB49B00" w14:textId="6867803A" w:rsidR="005C57D6" w:rsidRPr="00A2411E" w:rsidRDefault="005C57D6" w:rsidP="00A2411E">
      <w:pPr>
        <w:rPr>
          <w:rFonts w:ascii="Calibri" w:hAnsi="Calibri"/>
          <w:lang w:eastAsia="en-US"/>
        </w:rPr>
      </w:pPr>
      <w:r w:rsidRPr="007C3F66">
        <w:rPr>
          <w:rFonts w:ascii="Calibri" w:hAnsi="Calibri"/>
          <w:lang w:eastAsia="en-US"/>
        </w:rPr>
        <w:t xml:space="preserve">RÉSOLUTION DU CONSEIL DE LA </w:t>
      </w:r>
      <w:r w:rsidR="0011654D" w:rsidRPr="0011654D">
        <w:rPr>
          <w:rFonts w:ascii="Calibri" w:hAnsi="Calibri"/>
          <w:highlight w:val="yellow"/>
          <w:lang w:eastAsia="en-US"/>
        </w:rPr>
        <w:t>NOM DE LA MUNICIPALITÉ RÉGIONALE</w:t>
      </w:r>
    </w:p>
    <w:p w14:paraId="5DAB47B5" w14:textId="77777777" w:rsidR="005C57D6" w:rsidRPr="00A2411E" w:rsidRDefault="005C57D6" w:rsidP="00A2411E">
      <w:pPr>
        <w:rPr>
          <w:lang w:eastAsia="en-US"/>
        </w:rPr>
      </w:pPr>
    </w:p>
    <w:p w14:paraId="0EEADC80" w14:textId="2591B239" w:rsidR="003369EF" w:rsidRPr="007C3F66" w:rsidRDefault="00B842D7" w:rsidP="007C3F66">
      <w:pPr>
        <w:pStyle w:val="Corpsdetexte"/>
        <w:keepNext/>
        <w:keepLines/>
        <w:jc w:val="both"/>
      </w:pPr>
      <w:bookmarkStart w:id="0" w:name="OLE_LINK16"/>
      <w:bookmarkStart w:id="1" w:name="OLE_LINK17"/>
      <w:r w:rsidRPr="007C3F66">
        <w:rPr>
          <w:rFonts w:ascii="Calibri" w:hAnsi="Calibri"/>
          <w:szCs w:val="24"/>
        </w:rPr>
        <w:t>A</w:t>
      </w:r>
      <w:r w:rsidR="0011654D">
        <w:rPr>
          <w:rFonts w:ascii="Calibri" w:hAnsi="Calibri"/>
          <w:szCs w:val="24"/>
        </w:rPr>
        <w:t xml:space="preserve">DOPTION DU PROJET DE </w:t>
      </w:r>
      <w:r w:rsidR="0011654D" w:rsidRPr="00A94541">
        <w:rPr>
          <w:rFonts w:ascii="Calibri" w:hAnsi="Calibri"/>
          <w:szCs w:val="24"/>
        </w:rPr>
        <w:t>PLAN DE GESTION DES MATIÈRES RÉSIDUELLES</w:t>
      </w:r>
      <w:r w:rsidR="0011654D">
        <w:rPr>
          <w:rFonts w:ascii="Calibri" w:hAnsi="Calibri"/>
          <w:szCs w:val="24"/>
        </w:rPr>
        <w:t xml:space="preserve"> </w:t>
      </w:r>
      <w:r w:rsidR="0011654D" w:rsidRPr="00212269">
        <w:rPr>
          <w:rFonts w:ascii="Calibri" w:hAnsi="Calibri"/>
          <w:szCs w:val="24"/>
          <w:highlight w:val="yellow"/>
        </w:rPr>
        <w:t>RÉVISÉ</w:t>
      </w:r>
      <w:r w:rsidR="0011654D">
        <w:rPr>
          <w:rFonts w:ascii="Calibri" w:hAnsi="Calibri"/>
          <w:szCs w:val="24"/>
        </w:rPr>
        <w:t xml:space="preserve"> </w:t>
      </w:r>
      <w:r w:rsidR="0011654D" w:rsidRPr="004E720E">
        <w:rPr>
          <w:rFonts w:ascii="Calibri" w:hAnsi="Calibri"/>
          <w:szCs w:val="24"/>
          <w:highlight w:val="yellow"/>
        </w:rPr>
        <w:t>PÉRIODE D’APPLICATION DU PGMR</w:t>
      </w:r>
      <w:r w:rsidR="0011654D">
        <w:rPr>
          <w:rFonts w:ascii="Calibri" w:hAnsi="Calibri"/>
          <w:szCs w:val="24"/>
        </w:rPr>
        <w:t xml:space="preserve"> </w:t>
      </w:r>
      <w:r w:rsidR="0011654D" w:rsidRPr="004E720E">
        <w:rPr>
          <w:rFonts w:ascii="Calibri" w:hAnsi="Calibri"/>
          <w:szCs w:val="24"/>
        </w:rPr>
        <w:t>DE LA</w:t>
      </w:r>
      <w:r w:rsidR="0011654D" w:rsidRPr="00A94541">
        <w:t xml:space="preserve"> </w:t>
      </w:r>
      <w:r w:rsidR="0011654D" w:rsidRPr="004E720E">
        <w:rPr>
          <w:rFonts w:ascii="Calibri" w:hAnsi="Calibri"/>
          <w:szCs w:val="24"/>
          <w:highlight w:val="yellow"/>
        </w:rPr>
        <w:t>NOM DE LA MUNICIPALITÉ RÉGIONALE</w:t>
      </w:r>
      <w:bookmarkEnd w:id="0"/>
      <w:bookmarkEnd w:id="1"/>
      <w:r w:rsidR="00D20311" w:rsidRPr="007C3F66">
        <w:rPr>
          <w:rFonts w:ascii="Calibri" w:hAnsi="Calibri"/>
          <w:szCs w:val="24"/>
        </w:rPr>
        <w:t xml:space="preserve"> </w:t>
      </w:r>
    </w:p>
    <w:p w14:paraId="6319C3A2" w14:textId="35B0FB02" w:rsidR="00D20311" w:rsidRDefault="00207F3E" w:rsidP="00B842D7">
      <w:pPr>
        <w:spacing w:before="280"/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Considérant que le plan de gestion des matières résiduelles </w:t>
      </w:r>
      <w:r w:rsidR="00D20311">
        <w:rPr>
          <w:rFonts w:ascii="Calibri" w:hAnsi="Calibri" w:cs="Arial"/>
          <w:sz w:val="24"/>
          <w:szCs w:val="24"/>
        </w:rPr>
        <w:t xml:space="preserve">(PGMR) </w:t>
      </w:r>
      <w:r w:rsidR="00B467B8">
        <w:rPr>
          <w:rFonts w:ascii="Calibri" w:hAnsi="Calibri" w:cs="Arial"/>
          <w:sz w:val="24"/>
          <w:szCs w:val="24"/>
        </w:rPr>
        <w:t xml:space="preserve">de la </w:t>
      </w:r>
      <w:bookmarkStart w:id="2" w:name="_Hlk102469733"/>
      <w:r w:rsidR="0011654D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bookmarkEnd w:id="2"/>
      <w:r w:rsidRPr="00D20311">
        <w:rPr>
          <w:rFonts w:ascii="Calibri" w:hAnsi="Calibri" w:cs="Arial"/>
          <w:sz w:val="24"/>
          <w:szCs w:val="24"/>
        </w:rPr>
        <w:t xml:space="preserve"> est en vigueur depuis </w:t>
      </w:r>
      <w:r w:rsidR="00B467B8" w:rsidRPr="007C3F66">
        <w:rPr>
          <w:rFonts w:ascii="Calibri" w:hAnsi="Calibri" w:cs="Arial"/>
          <w:sz w:val="24"/>
          <w:szCs w:val="24"/>
        </w:rPr>
        <w:t>le</w:t>
      </w:r>
      <w:r w:rsidR="0011654D">
        <w:rPr>
          <w:rFonts w:ascii="Calibri" w:hAnsi="Calibri" w:cs="Arial"/>
          <w:sz w:val="24"/>
          <w:szCs w:val="24"/>
        </w:rPr>
        <w:t xml:space="preserve"> </w:t>
      </w:r>
      <w:r w:rsidR="008006AA">
        <w:rPr>
          <w:rFonts w:ascii="Calibri" w:hAnsi="Calibri"/>
          <w:sz w:val="24"/>
          <w:szCs w:val="24"/>
          <w:highlight w:val="yellow"/>
        </w:rPr>
        <w:t>DATE</w:t>
      </w:r>
      <w:r w:rsidR="008006AA">
        <w:rPr>
          <w:rFonts w:ascii="Calibri" w:hAnsi="Calibri"/>
          <w:sz w:val="24"/>
          <w:szCs w:val="24"/>
        </w:rPr>
        <w:t xml:space="preserve"> </w:t>
      </w:r>
      <w:r w:rsidRPr="00D20311">
        <w:rPr>
          <w:rFonts w:ascii="Calibri" w:hAnsi="Calibri" w:cs="Arial"/>
          <w:sz w:val="24"/>
          <w:szCs w:val="24"/>
        </w:rPr>
        <w:t>et qu’en vertu de l’article 53.23</w:t>
      </w:r>
      <w:r w:rsidR="008006AA">
        <w:rPr>
          <w:rFonts w:ascii="Calibri" w:hAnsi="Calibri" w:cs="Arial"/>
          <w:sz w:val="24"/>
          <w:szCs w:val="24"/>
        </w:rPr>
        <w:t>.1</w:t>
      </w:r>
      <w:r w:rsidRPr="00D20311">
        <w:rPr>
          <w:rFonts w:ascii="Calibri" w:hAnsi="Calibri" w:cs="Arial"/>
          <w:sz w:val="24"/>
          <w:szCs w:val="24"/>
        </w:rPr>
        <w:t xml:space="preserve"> de la </w:t>
      </w:r>
      <w:r w:rsidRPr="00D20311">
        <w:rPr>
          <w:rFonts w:ascii="Calibri" w:hAnsi="Calibri" w:cs="Arial"/>
          <w:i/>
          <w:sz w:val="24"/>
          <w:szCs w:val="24"/>
        </w:rPr>
        <w:t>Loi sur la qualité de l’environnement</w:t>
      </w:r>
      <w:r w:rsidR="008006AA">
        <w:rPr>
          <w:rFonts w:ascii="Calibri" w:hAnsi="Calibri" w:cs="Arial"/>
          <w:sz w:val="24"/>
          <w:szCs w:val="24"/>
        </w:rPr>
        <w:t xml:space="preserve"> (LQE),</w:t>
      </w:r>
      <w:r w:rsidRPr="00D20311">
        <w:rPr>
          <w:rFonts w:ascii="Calibri" w:hAnsi="Calibri" w:cs="Arial"/>
          <w:sz w:val="24"/>
          <w:szCs w:val="24"/>
        </w:rPr>
        <w:t xml:space="preserve"> les municipalités régionales ont la responsabilité de </w:t>
      </w:r>
      <w:r w:rsidR="000A5F9F" w:rsidRPr="00D20311">
        <w:rPr>
          <w:rFonts w:ascii="Calibri" w:hAnsi="Calibri" w:cs="Arial"/>
          <w:sz w:val="24"/>
          <w:szCs w:val="24"/>
        </w:rPr>
        <w:t xml:space="preserve">réviser ce document </w:t>
      </w:r>
      <w:r w:rsidR="00865711" w:rsidRPr="00D20311">
        <w:rPr>
          <w:rFonts w:ascii="Calibri" w:hAnsi="Calibri" w:cs="Arial"/>
          <w:sz w:val="24"/>
          <w:szCs w:val="24"/>
        </w:rPr>
        <w:t xml:space="preserve">tous les </w:t>
      </w:r>
      <w:r w:rsidR="00B842D7">
        <w:rPr>
          <w:rFonts w:ascii="Calibri" w:hAnsi="Calibri" w:cs="Arial"/>
          <w:sz w:val="24"/>
          <w:szCs w:val="24"/>
        </w:rPr>
        <w:t>sept</w:t>
      </w:r>
      <w:r w:rsidRPr="00D20311">
        <w:rPr>
          <w:rFonts w:ascii="Calibri" w:hAnsi="Calibri" w:cs="Arial"/>
          <w:sz w:val="24"/>
          <w:szCs w:val="24"/>
        </w:rPr>
        <w:t xml:space="preserve"> ans;</w:t>
      </w:r>
    </w:p>
    <w:p w14:paraId="6E731356" w14:textId="3EE65A4A" w:rsidR="00B842D7" w:rsidRPr="00D20311" w:rsidRDefault="00B842D7" w:rsidP="00B842D7">
      <w:pPr>
        <w:spacing w:before="28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Considérant qu’à cette fin, le conseil de la </w:t>
      </w:r>
      <w:r w:rsidR="008006AA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r>
        <w:rPr>
          <w:rFonts w:ascii="Calibri" w:hAnsi="Calibri" w:cs="Arial"/>
          <w:sz w:val="24"/>
          <w:szCs w:val="24"/>
        </w:rPr>
        <w:t xml:space="preserve"> doit adopter</w:t>
      </w:r>
      <w:r w:rsidR="008006AA">
        <w:rPr>
          <w:rFonts w:ascii="Calibri" w:hAnsi="Calibri" w:cs="Arial"/>
          <w:sz w:val="24"/>
          <w:szCs w:val="24"/>
        </w:rPr>
        <w:t xml:space="preserve"> par résolution</w:t>
      </w:r>
      <w:r>
        <w:rPr>
          <w:rFonts w:ascii="Calibri" w:hAnsi="Calibri" w:cs="Arial"/>
          <w:sz w:val="24"/>
          <w:szCs w:val="24"/>
        </w:rPr>
        <w:t xml:space="preserve"> </w:t>
      </w:r>
      <w:r w:rsidR="008006AA">
        <w:rPr>
          <w:rFonts w:ascii="Calibri" w:hAnsi="Calibri" w:cs="Arial"/>
          <w:sz w:val="24"/>
          <w:szCs w:val="24"/>
        </w:rPr>
        <w:t>un projet de PGMR révisé, en vertu de l’article 53.11 de la LQE</w:t>
      </w:r>
      <w:r>
        <w:rPr>
          <w:rFonts w:ascii="Calibri" w:hAnsi="Calibri" w:cs="Arial"/>
          <w:sz w:val="24"/>
          <w:szCs w:val="24"/>
        </w:rPr>
        <w:t>;</w:t>
      </w:r>
    </w:p>
    <w:p w14:paraId="4FB9C340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24845594" w14:textId="2622A040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Il est proposé </w:t>
      </w:r>
      <w:proofErr w:type="gramStart"/>
      <w:r w:rsidRPr="00D20311">
        <w:rPr>
          <w:rFonts w:ascii="Calibri" w:hAnsi="Calibri" w:cs="Arial"/>
          <w:sz w:val="24"/>
          <w:szCs w:val="24"/>
          <w:highlight w:val="yellow"/>
        </w:rPr>
        <w:t>par</w:t>
      </w:r>
      <w:r w:rsidRPr="007C3F66">
        <w:rPr>
          <w:rFonts w:ascii="Calibri" w:hAnsi="Calibri" w:cs="Arial"/>
          <w:sz w:val="24"/>
          <w:szCs w:val="24"/>
        </w:rPr>
        <w:t xml:space="preserve"> </w:t>
      </w:r>
      <w:r w:rsidR="007A7ABD" w:rsidRPr="007C3F66">
        <w:rPr>
          <w:rFonts w:ascii="Calibri" w:hAnsi="Calibri" w:cs="Arial"/>
          <w:sz w:val="24"/>
          <w:szCs w:val="24"/>
        </w:rPr>
        <w:t>,</w:t>
      </w:r>
      <w:proofErr w:type="gramEnd"/>
    </w:p>
    <w:p w14:paraId="03D3D4C1" w14:textId="196A8926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Appuyé </w:t>
      </w:r>
      <w:proofErr w:type="gramStart"/>
      <w:r w:rsidR="007A7ABD" w:rsidRPr="00D20311">
        <w:rPr>
          <w:rFonts w:ascii="Calibri" w:hAnsi="Calibri" w:cs="Arial"/>
          <w:sz w:val="24"/>
          <w:szCs w:val="24"/>
          <w:highlight w:val="yellow"/>
        </w:rPr>
        <w:t>par</w:t>
      </w:r>
      <w:r w:rsidR="007A7ABD" w:rsidRPr="009D32F1">
        <w:rPr>
          <w:rFonts w:ascii="Calibri" w:hAnsi="Calibri" w:cs="Arial"/>
          <w:sz w:val="24"/>
          <w:szCs w:val="24"/>
        </w:rPr>
        <w:t xml:space="preserve"> ,</w:t>
      </w:r>
      <w:proofErr w:type="gramEnd"/>
    </w:p>
    <w:p w14:paraId="70959640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>Et résolu </w:t>
      </w:r>
    </w:p>
    <w:p w14:paraId="35B2008C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08CBD8E6" w14:textId="271C3EBD" w:rsidR="00D20311" w:rsidRDefault="00B842D7" w:rsidP="00D20311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Que la </w:t>
      </w:r>
      <w:r w:rsidR="00611C29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D20311" w:rsidRPr="00D20311">
        <w:rPr>
          <w:rFonts w:ascii="Calibri" w:hAnsi="Calibri" w:cs="Arial"/>
          <w:sz w:val="24"/>
          <w:szCs w:val="24"/>
        </w:rPr>
        <w:t xml:space="preserve"> adopte le projet de plan de gestion des matières résiduelles</w:t>
      </w:r>
      <w:r>
        <w:rPr>
          <w:rFonts w:ascii="Calibri" w:hAnsi="Calibri" w:cs="Arial"/>
          <w:sz w:val="24"/>
          <w:szCs w:val="24"/>
        </w:rPr>
        <w:t xml:space="preserve"> révisé</w:t>
      </w:r>
      <w:r w:rsidR="007D4E8B">
        <w:rPr>
          <w:rFonts w:ascii="Calibri" w:hAnsi="Calibri" w:cs="Arial"/>
          <w:sz w:val="24"/>
          <w:szCs w:val="24"/>
        </w:rPr>
        <w:t xml:space="preserve"> joint à la présente</w:t>
      </w:r>
      <w:r w:rsidR="00D20311" w:rsidRPr="00D20311">
        <w:rPr>
          <w:rFonts w:ascii="Calibri" w:hAnsi="Calibri" w:cs="Arial"/>
          <w:sz w:val="24"/>
          <w:szCs w:val="24"/>
        </w:rPr>
        <w:t>;</w:t>
      </w:r>
    </w:p>
    <w:p w14:paraId="0F4CA176" w14:textId="77777777" w:rsidR="00B842D7" w:rsidRDefault="00B842D7" w:rsidP="00D20311">
      <w:pPr>
        <w:jc w:val="both"/>
        <w:rPr>
          <w:rFonts w:ascii="Calibri" w:hAnsi="Calibri" w:cs="Arial"/>
          <w:sz w:val="24"/>
          <w:szCs w:val="24"/>
        </w:rPr>
      </w:pPr>
    </w:p>
    <w:p w14:paraId="09DADE4C" w14:textId="77777777" w:rsidR="00B842D7" w:rsidRPr="00D20311" w:rsidRDefault="00B842D7" w:rsidP="00D20311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Qu’une copie de cette résolution et du projet de plan de gestion </w:t>
      </w:r>
      <w:r w:rsidR="007D4E8B">
        <w:rPr>
          <w:rFonts w:ascii="Calibri" w:hAnsi="Calibri" w:cs="Arial"/>
          <w:sz w:val="24"/>
          <w:szCs w:val="24"/>
        </w:rPr>
        <w:t xml:space="preserve">révisé </w:t>
      </w:r>
      <w:r>
        <w:rPr>
          <w:rFonts w:ascii="Calibri" w:hAnsi="Calibri" w:cs="Arial"/>
          <w:sz w:val="24"/>
          <w:szCs w:val="24"/>
        </w:rPr>
        <w:t>soient transmis à toute municipalité régionale environn</w:t>
      </w:r>
      <w:r w:rsidR="007D4E8B">
        <w:rPr>
          <w:rFonts w:ascii="Calibri" w:hAnsi="Calibri" w:cs="Arial"/>
          <w:sz w:val="24"/>
          <w:szCs w:val="24"/>
        </w:rPr>
        <w:t>ante</w:t>
      </w:r>
      <w:r>
        <w:rPr>
          <w:rFonts w:ascii="Calibri" w:hAnsi="Calibri" w:cs="Arial"/>
          <w:sz w:val="24"/>
          <w:szCs w:val="24"/>
        </w:rPr>
        <w:t xml:space="preserve"> ou qui est desservie par une installation d’élimination située sur le territoire d’application du plan</w:t>
      </w:r>
      <w:r w:rsidR="007D4E8B">
        <w:rPr>
          <w:rFonts w:ascii="Calibri" w:hAnsi="Calibri" w:cs="Arial"/>
          <w:sz w:val="24"/>
          <w:szCs w:val="24"/>
        </w:rPr>
        <w:t xml:space="preserve"> de gestion projeté</w:t>
      </w:r>
      <w:r>
        <w:rPr>
          <w:rFonts w:ascii="Calibri" w:hAnsi="Calibri" w:cs="Arial"/>
          <w:sz w:val="24"/>
          <w:szCs w:val="24"/>
        </w:rPr>
        <w:t xml:space="preserve">; </w:t>
      </w:r>
    </w:p>
    <w:p w14:paraId="2C8EC674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7C60167F" w14:textId="62F7D38E" w:rsid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 xml:space="preserve">Que le projet de plan </w:t>
      </w:r>
      <w:r w:rsidR="007D4E8B">
        <w:rPr>
          <w:rFonts w:ascii="Calibri" w:hAnsi="Calibri" w:cs="Arial"/>
          <w:sz w:val="24"/>
          <w:szCs w:val="24"/>
        </w:rPr>
        <w:t xml:space="preserve">de gestion révisé </w:t>
      </w:r>
      <w:r w:rsidR="00B842D7">
        <w:rPr>
          <w:rFonts w:ascii="Calibri" w:hAnsi="Calibri" w:cs="Arial"/>
          <w:sz w:val="24"/>
          <w:szCs w:val="24"/>
        </w:rPr>
        <w:t>soit</w:t>
      </w:r>
      <w:r w:rsidRPr="00D20311">
        <w:rPr>
          <w:rFonts w:ascii="Calibri" w:hAnsi="Calibri" w:cs="Arial"/>
          <w:sz w:val="24"/>
          <w:szCs w:val="24"/>
        </w:rPr>
        <w:t xml:space="preserve"> soumis </w:t>
      </w:r>
      <w:r w:rsidR="00B842D7">
        <w:rPr>
          <w:rFonts w:ascii="Calibri" w:hAnsi="Calibri" w:cs="Arial"/>
          <w:sz w:val="24"/>
          <w:szCs w:val="24"/>
        </w:rPr>
        <w:t>à une consultation publique</w:t>
      </w:r>
      <w:r w:rsidRPr="00D20311">
        <w:rPr>
          <w:rFonts w:ascii="Calibri" w:hAnsi="Calibri" w:cs="Arial"/>
          <w:sz w:val="24"/>
          <w:szCs w:val="24"/>
        </w:rPr>
        <w:t xml:space="preserve"> dans un délai d’au plus </w:t>
      </w:r>
      <w:r w:rsidR="007A7ABD">
        <w:rPr>
          <w:rFonts w:ascii="Calibri" w:hAnsi="Calibri" w:cs="Arial"/>
          <w:sz w:val="24"/>
          <w:szCs w:val="24"/>
          <w:highlight w:val="yellow"/>
        </w:rPr>
        <w:t>X JOURS OU MOIS</w:t>
      </w:r>
      <w:r w:rsidR="00B842D7">
        <w:rPr>
          <w:rFonts w:ascii="Calibri" w:hAnsi="Calibri" w:cs="Arial"/>
          <w:sz w:val="24"/>
          <w:szCs w:val="24"/>
        </w:rPr>
        <w:t>;</w:t>
      </w:r>
    </w:p>
    <w:p w14:paraId="0D4BF57C" w14:textId="77777777" w:rsidR="00A41446" w:rsidRDefault="00A41446" w:rsidP="00D20311">
      <w:pPr>
        <w:jc w:val="both"/>
        <w:rPr>
          <w:rFonts w:ascii="Calibri" w:hAnsi="Calibri" w:cs="Arial"/>
          <w:sz w:val="24"/>
          <w:szCs w:val="24"/>
        </w:rPr>
      </w:pPr>
    </w:p>
    <w:p w14:paraId="36154687" w14:textId="587BD65D" w:rsidR="00A41446" w:rsidRPr="00D20311" w:rsidRDefault="00A41446" w:rsidP="00D20311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Que dans un délai d’au moins 45 jours avant la tenue </w:t>
      </w:r>
      <w:r w:rsidRPr="007C3F66">
        <w:rPr>
          <w:rFonts w:ascii="Calibri" w:hAnsi="Calibri" w:cs="Arial"/>
          <w:sz w:val="24"/>
          <w:szCs w:val="24"/>
          <w:highlight w:val="yellow"/>
        </w:rPr>
        <w:t>de l’</w:t>
      </w:r>
      <w:r w:rsidR="00611C29" w:rsidRPr="007C3F66">
        <w:rPr>
          <w:rFonts w:ascii="Calibri" w:hAnsi="Calibri" w:cs="Arial"/>
          <w:sz w:val="24"/>
          <w:szCs w:val="24"/>
          <w:highlight w:val="yellow"/>
        </w:rPr>
        <w:t>/des</w:t>
      </w:r>
      <w:r w:rsidR="00611C29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assemblée</w:t>
      </w:r>
      <w:r w:rsidR="00611C29" w:rsidRPr="007C3F66">
        <w:rPr>
          <w:rFonts w:ascii="Calibri" w:hAnsi="Calibri" w:cs="Arial"/>
          <w:sz w:val="24"/>
          <w:szCs w:val="24"/>
          <w:highlight w:val="yellow"/>
        </w:rPr>
        <w:t>(s)</w:t>
      </w:r>
      <w:r>
        <w:rPr>
          <w:rFonts w:ascii="Calibri" w:hAnsi="Calibri" w:cs="Arial"/>
          <w:sz w:val="24"/>
          <w:szCs w:val="24"/>
        </w:rPr>
        <w:t xml:space="preserve"> publique</w:t>
      </w:r>
      <w:r w:rsidR="00611C29" w:rsidRPr="007C3F66">
        <w:rPr>
          <w:rFonts w:ascii="Calibri" w:hAnsi="Calibri" w:cs="Arial"/>
          <w:sz w:val="24"/>
          <w:szCs w:val="24"/>
          <w:highlight w:val="yellow"/>
        </w:rPr>
        <w:t>(s)</w:t>
      </w:r>
      <w:r>
        <w:rPr>
          <w:rFonts w:ascii="Calibri" w:hAnsi="Calibri" w:cs="Arial"/>
          <w:sz w:val="24"/>
          <w:szCs w:val="24"/>
        </w:rPr>
        <w:t xml:space="preserve">, la </w:t>
      </w:r>
      <w:r w:rsidR="00611C29"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r>
        <w:rPr>
          <w:rFonts w:ascii="Calibri" w:hAnsi="Calibri" w:cs="Arial"/>
          <w:sz w:val="24"/>
          <w:szCs w:val="24"/>
        </w:rPr>
        <w:t xml:space="preserve"> rendra public un sommaire du projet de plan ainsi qu’un avis indiquant </w:t>
      </w:r>
      <w:r w:rsidRPr="007C3F66">
        <w:rPr>
          <w:rFonts w:ascii="Calibri" w:hAnsi="Calibri" w:cs="Arial"/>
          <w:sz w:val="24"/>
          <w:szCs w:val="24"/>
          <w:highlight w:val="yellow"/>
        </w:rPr>
        <w:t>la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/les</w:t>
      </w:r>
      <w:r>
        <w:rPr>
          <w:rFonts w:ascii="Calibri" w:hAnsi="Calibri" w:cs="Arial"/>
          <w:sz w:val="24"/>
          <w:szCs w:val="24"/>
        </w:rPr>
        <w:t xml:space="preserve"> date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(s)</w:t>
      </w:r>
      <w:r>
        <w:rPr>
          <w:rFonts w:ascii="Calibri" w:hAnsi="Calibri" w:cs="Arial"/>
          <w:sz w:val="24"/>
          <w:szCs w:val="24"/>
        </w:rPr>
        <w:t xml:space="preserve">, </w:t>
      </w:r>
      <w:r w:rsidRPr="007C3F66">
        <w:rPr>
          <w:rFonts w:ascii="Calibri" w:hAnsi="Calibri" w:cs="Arial"/>
          <w:sz w:val="24"/>
          <w:szCs w:val="24"/>
          <w:highlight w:val="yellow"/>
        </w:rPr>
        <w:t>l’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/les</w:t>
      </w:r>
      <w:r w:rsidR="00DC05AB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heure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(s)</w:t>
      </w:r>
      <w:r>
        <w:rPr>
          <w:rFonts w:ascii="Calibri" w:hAnsi="Calibri" w:cs="Arial"/>
          <w:sz w:val="24"/>
          <w:szCs w:val="24"/>
        </w:rPr>
        <w:t xml:space="preserve"> et </w:t>
      </w:r>
      <w:r w:rsidRPr="007C3F66">
        <w:rPr>
          <w:rFonts w:ascii="Calibri" w:hAnsi="Calibri" w:cs="Arial"/>
          <w:sz w:val="24"/>
          <w:szCs w:val="24"/>
          <w:highlight w:val="yellow"/>
        </w:rPr>
        <w:t>le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/les</w:t>
      </w:r>
      <w:r>
        <w:rPr>
          <w:rFonts w:ascii="Calibri" w:hAnsi="Calibri" w:cs="Arial"/>
          <w:sz w:val="24"/>
          <w:szCs w:val="24"/>
        </w:rPr>
        <w:t xml:space="preserve"> lieu</w:t>
      </w:r>
      <w:r w:rsidR="00DC05AB" w:rsidRPr="007C3F66">
        <w:rPr>
          <w:rFonts w:ascii="Calibri" w:hAnsi="Calibri" w:cs="Arial"/>
          <w:sz w:val="24"/>
          <w:szCs w:val="24"/>
          <w:highlight w:val="yellow"/>
        </w:rPr>
        <w:t>(x)</w:t>
      </w:r>
      <w:r>
        <w:rPr>
          <w:rFonts w:ascii="Calibri" w:hAnsi="Calibri" w:cs="Arial"/>
          <w:sz w:val="24"/>
          <w:szCs w:val="24"/>
        </w:rPr>
        <w:t xml:space="preserve"> </w:t>
      </w:r>
      <w:r w:rsidRPr="007C3F66">
        <w:rPr>
          <w:rFonts w:ascii="Calibri" w:hAnsi="Calibri" w:cs="Arial"/>
          <w:sz w:val="24"/>
          <w:szCs w:val="24"/>
          <w:highlight w:val="yellow"/>
        </w:rPr>
        <w:t>de l’</w:t>
      </w:r>
      <w:r w:rsidR="00611C29" w:rsidRPr="007C3F66">
        <w:rPr>
          <w:rFonts w:ascii="Calibri" w:hAnsi="Calibri" w:cs="Arial"/>
          <w:sz w:val="24"/>
          <w:szCs w:val="24"/>
          <w:highlight w:val="yellow"/>
        </w:rPr>
        <w:t>/des</w:t>
      </w:r>
      <w:r w:rsidR="00611C29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assemblée</w:t>
      </w:r>
      <w:r w:rsidR="00611C29" w:rsidRPr="007C3F66">
        <w:rPr>
          <w:rFonts w:ascii="Calibri" w:hAnsi="Calibri" w:cs="Arial"/>
          <w:sz w:val="24"/>
          <w:szCs w:val="24"/>
          <w:highlight w:val="yellow"/>
        </w:rPr>
        <w:t>(s)</w:t>
      </w:r>
      <w:r w:rsidR="00F07FCB">
        <w:rPr>
          <w:rFonts w:ascii="Calibri" w:hAnsi="Calibri" w:cs="Arial"/>
          <w:sz w:val="24"/>
          <w:szCs w:val="24"/>
        </w:rPr>
        <w:t xml:space="preserve">, le tout conformément aux exigences de l’article 53.14 </w:t>
      </w:r>
      <w:r w:rsidR="00F07FCB" w:rsidRPr="00D20311">
        <w:rPr>
          <w:rFonts w:ascii="Calibri" w:hAnsi="Calibri" w:cs="Arial"/>
          <w:sz w:val="24"/>
          <w:szCs w:val="24"/>
        </w:rPr>
        <w:t xml:space="preserve">de la </w:t>
      </w:r>
      <w:r w:rsidR="00F07FCB" w:rsidRPr="00D20311">
        <w:rPr>
          <w:rFonts w:ascii="Calibri" w:hAnsi="Calibri" w:cs="Arial"/>
          <w:i/>
          <w:sz w:val="24"/>
          <w:szCs w:val="24"/>
        </w:rPr>
        <w:t>Loi sur la qualité de l’environnement</w:t>
      </w:r>
      <w:r>
        <w:rPr>
          <w:rFonts w:ascii="Calibri" w:hAnsi="Calibri" w:cs="Arial"/>
          <w:sz w:val="24"/>
          <w:szCs w:val="24"/>
        </w:rPr>
        <w:t>;</w:t>
      </w:r>
    </w:p>
    <w:p w14:paraId="693F7086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</w:p>
    <w:p w14:paraId="41CCA975" w14:textId="77777777" w:rsidR="00D20311" w:rsidRPr="00D20311" w:rsidRDefault="00D20311" w:rsidP="00D20311">
      <w:pPr>
        <w:jc w:val="both"/>
        <w:rPr>
          <w:rFonts w:ascii="Calibri" w:hAnsi="Calibri" w:cs="Arial"/>
          <w:sz w:val="24"/>
          <w:szCs w:val="24"/>
        </w:rPr>
      </w:pPr>
      <w:r w:rsidRPr="00D20311">
        <w:rPr>
          <w:rFonts w:ascii="Calibri" w:hAnsi="Calibri" w:cs="Arial"/>
          <w:sz w:val="24"/>
          <w:szCs w:val="24"/>
        </w:rPr>
        <w:t>Que le projet de plan peut être consulté au bureau de chaque municipalité locale visée par le plan</w:t>
      </w:r>
      <w:r w:rsidR="003411B6">
        <w:rPr>
          <w:rFonts w:ascii="Calibri" w:hAnsi="Calibri" w:cs="Arial"/>
          <w:sz w:val="24"/>
          <w:szCs w:val="24"/>
        </w:rPr>
        <w:t xml:space="preserve">, le tout conformément aux exigences de l’article 53.14 </w:t>
      </w:r>
      <w:r w:rsidR="003411B6" w:rsidRPr="00D20311">
        <w:rPr>
          <w:rFonts w:ascii="Calibri" w:hAnsi="Calibri" w:cs="Arial"/>
          <w:sz w:val="24"/>
          <w:szCs w:val="24"/>
        </w:rPr>
        <w:t xml:space="preserve">de la </w:t>
      </w:r>
      <w:r w:rsidR="003411B6" w:rsidRPr="00D20311">
        <w:rPr>
          <w:rFonts w:ascii="Calibri" w:hAnsi="Calibri" w:cs="Arial"/>
          <w:i/>
          <w:sz w:val="24"/>
          <w:szCs w:val="24"/>
        </w:rPr>
        <w:t>Loi sur la qualité de l’environnement</w:t>
      </w:r>
      <w:r w:rsidRPr="00D20311">
        <w:rPr>
          <w:rFonts w:ascii="Calibri" w:hAnsi="Calibri" w:cs="Arial"/>
          <w:sz w:val="24"/>
          <w:szCs w:val="24"/>
        </w:rPr>
        <w:t>.</w:t>
      </w:r>
    </w:p>
    <w:p w14:paraId="638DD31B" w14:textId="77777777" w:rsidR="00234458" w:rsidRPr="00D20311" w:rsidRDefault="00234458" w:rsidP="00540A28">
      <w:pPr>
        <w:spacing w:before="280"/>
        <w:jc w:val="both"/>
        <w:rPr>
          <w:rFonts w:ascii="Calibri" w:hAnsi="Calibri" w:cs="Arial"/>
          <w:sz w:val="24"/>
          <w:szCs w:val="24"/>
        </w:rPr>
      </w:pPr>
    </w:p>
    <w:sectPr w:rsidR="00234458" w:rsidRPr="00D20311" w:rsidSect="003C67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29C8" w14:textId="77777777" w:rsidR="004B0578" w:rsidRDefault="004B0578" w:rsidP="00234458">
      <w:r>
        <w:separator/>
      </w:r>
    </w:p>
  </w:endnote>
  <w:endnote w:type="continuationSeparator" w:id="0">
    <w:p w14:paraId="11B2BC8E" w14:textId="77777777" w:rsidR="004B0578" w:rsidRDefault="004B0578" w:rsidP="0023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415F" w14:textId="77777777" w:rsidR="00234458" w:rsidRDefault="002344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C87D" w14:textId="77777777" w:rsidR="00234458" w:rsidRDefault="002344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C802" w14:textId="77777777" w:rsidR="00234458" w:rsidRDefault="002344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89856" w14:textId="77777777" w:rsidR="004B0578" w:rsidRDefault="004B0578" w:rsidP="00234458">
      <w:r>
        <w:separator/>
      </w:r>
    </w:p>
  </w:footnote>
  <w:footnote w:type="continuationSeparator" w:id="0">
    <w:p w14:paraId="7F041026" w14:textId="77777777" w:rsidR="004B0578" w:rsidRDefault="004B0578" w:rsidP="00234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5149" w14:textId="77777777" w:rsidR="00234458" w:rsidRDefault="002344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C9E2" w14:textId="77777777" w:rsidR="00234458" w:rsidRDefault="007C3F66">
    <w:pPr>
      <w:pStyle w:val="En-tte"/>
    </w:pPr>
    <w:r>
      <w:pict w14:anchorId="4B8A06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C2B7" w14:textId="77777777" w:rsidR="00234458" w:rsidRDefault="002344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2837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F3E"/>
    <w:rsid w:val="00070A7B"/>
    <w:rsid w:val="00081F45"/>
    <w:rsid w:val="000A5F9F"/>
    <w:rsid w:val="0011654D"/>
    <w:rsid w:val="00123772"/>
    <w:rsid w:val="00143489"/>
    <w:rsid w:val="001564D5"/>
    <w:rsid w:val="00207F3E"/>
    <w:rsid w:val="00234458"/>
    <w:rsid w:val="00273078"/>
    <w:rsid w:val="002D50C5"/>
    <w:rsid w:val="002E2D0B"/>
    <w:rsid w:val="00335A92"/>
    <w:rsid w:val="003369EF"/>
    <w:rsid w:val="003411B6"/>
    <w:rsid w:val="00383B15"/>
    <w:rsid w:val="003A63E8"/>
    <w:rsid w:val="003B6154"/>
    <w:rsid w:val="003C6725"/>
    <w:rsid w:val="003D6C30"/>
    <w:rsid w:val="00465F1C"/>
    <w:rsid w:val="00481A96"/>
    <w:rsid w:val="004957F7"/>
    <w:rsid w:val="00496B75"/>
    <w:rsid w:val="004A2196"/>
    <w:rsid w:val="004B0578"/>
    <w:rsid w:val="004C1074"/>
    <w:rsid w:val="004D51CC"/>
    <w:rsid w:val="004F0893"/>
    <w:rsid w:val="00534379"/>
    <w:rsid w:val="00540A28"/>
    <w:rsid w:val="005521D9"/>
    <w:rsid w:val="005750B6"/>
    <w:rsid w:val="005C57D6"/>
    <w:rsid w:val="00606564"/>
    <w:rsid w:val="00611C29"/>
    <w:rsid w:val="00620409"/>
    <w:rsid w:val="00624218"/>
    <w:rsid w:val="0065045E"/>
    <w:rsid w:val="006834A8"/>
    <w:rsid w:val="006A06F4"/>
    <w:rsid w:val="006B01C2"/>
    <w:rsid w:val="006F3E0B"/>
    <w:rsid w:val="00720AA3"/>
    <w:rsid w:val="00772824"/>
    <w:rsid w:val="007757CA"/>
    <w:rsid w:val="007A1759"/>
    <w:rsid w:val="007A7ABD"/>
    <w:rsid w:val="007C3A7B"/>
    <w:rsid w:val="007C3F66"/>
    <w:rsid w:val="007D4E8B"/>
    <w:rsid w:val="008006AA"/>
    <w:rsid w:val="00803E12"/>
    <w:rsid w:val="00865711"/>
    <w:rsid w:val="00940EA0"/>
    <w:rsid w:val="009549CA"/>
    <w:rsid w:val="00A04CA5"/>
    <w:rsid w:val="00A14F0E"/>
    <w:rsid w:val="00A2411E"/>
    <w:rsid w:val="00A3664E"/>
    <w:rsid w:val="00A41446"/>
    <w:rsid w:val="00B076B1"/>
    <w:rsid w:val="00B265BC"/>
    <w:rsid w:val="00B467B8"/>
    <w:rsid w:val="00B842D7"/>
    <w:rsid w:val="00C90EE8"/>
    <w:rsid w:val="00CA1613"/>
    <w:rsid w:val="00D20311"/>
    <w:rsid w:val="00DC05AB"/>
    <w:rsid w:val="00DC60F7"/>
    <w:rsid w:val="00E13968"/>
    <w:rsid w:val="00EC03A5"/>
    <w:rsid w:val="00F07FCB"/>
    <w:rsid w:val="00F263C1"/>
    <w:rsid w:val="00F7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84B0F"/>
  <w15:chartTrackingRefBased/>
  <w15:docId w15:val="{2C420AF1-7C9C-4726-A93F-EA5B4EE9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rsid w:val="007A1759"/>
    <w:pPr>
      <w:spacing w:after="200" w:line="276" w:lineRule="auto"/>
      <w:outlineLvl w:val="0"/>
    </w:pPr>
    <w:rPr>
      <w:rFonts w:ascii="Arial" w:eastAsia="Calibri" w:hAnsi="Arial" w:cs="Arial"/>
      <w:sz w:val="24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1759"/>
    <w:pPr>
      <w:spacing w:after="200" w:line="276" w:lineRule="auto"/>
      <w:outlineLvl w:val="1"/>
    </w:pPr>
    <w:rPr>
      <w:rFonts w:ascii="Arial" w:eastAsia="Calibri" w:hAnsi="Arial" w:cs="Arial"/>
      <w:b/>
      <w:smallCaps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customStyle="1" w:styleId="Default">
    <w:name w:val="Default"/>
    <w:basedOn w:val="Normal"/>
    <w:rsid w:val="00A04CA5"/>
    <w:pPr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234458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34458"/>
    <w:pPr>
      <w:tabs>
        <w:tab w:val="center" w:pos="4320"/>
        <w:tab w:val="right" w:pos="8640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34458"/>
    <w:rPr>
      <w:lang w:eastAsia="fr-FR"/>
    </w:rPr>
  </w:style>
  <w:style w:type="character" w:styleId="Marquedecommentaire">
    <w:name w:val="annotation reference"/>
    <w:uiPriority w:val="99"/>
    <w:semiHidden/>
    <w:unhideWhenUsed/>
    <w:rsid w:val="000A5F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5F9F"/>
    <w:rPr>
      <w:lang w:val="x-none"/>
    </w:rPr>
  </w:style>
  <w:style w:type="character" w:customStyle="1" w:styleId="CommentaireCar">
    <w:name w:val="Commentaire Car"/>
    <w:link w:val="Commentaire"/>
    <w:uiPriority w:val="99"/>
    <w:semiHidden/>
    <w:rsid w:val="000A5F9F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5F9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A5F9F"/>
    <w:rPr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F9F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0A5F9F"/>
    <w:rPr>
      <w:rFonts w:ascii="Tahoma" w:hAnsi="Tahoma" w:cs="Tahoma"/>
      <w:sz w:val="16"/>
      <w:szCs w:val="16"/>
      <w:lang w:eastAsia="fr-FR"/>
    </w:rPr>
  </w:style>
  <w:style w:type="character" w:customStyle="1" w:styleId="Titre2Car">
    <w:name w:val="Titre 2 Car"/>
    <w:link w:val="Titre2"/>
    <w:uiPriority w:val="9"/>
    <w:rsid w:val="007A1759"/>
    <w:rPr>
      <w:rFonts w:ascii="Arial" w:eastAsia="Calibri" w:hAnsi="Arial" w:cs="Arial"/>
      <w:b/>
      <w:smallCaps/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3A7B"/>
  </w:style>
  <w:style w:type="character" w:customStyle="1" w:styleId="NotedebasdepageCar">
    <w:name w:val="Note de bas de page Car"/>
    <w:link w:val="Notedebasdepage"/>
    <w:uiPriority w:val="99"/>
    <w:semiHidden/>
    <w:rsid w:val="007C3A7B"/>
    <w:rPr>
      <w:lang w:eastAsia="fr-FR"/>
    </w:rPr>
  </w:style>
  <w:style w:type="character" w:styleId="Appelnotedebasdep">
    <w:name w:val="footnote reference"/>
    <w:uiPriority w:val="99"/>
    <w:semiHidden/>
    <w:unhideWhenUsed/>
    <w:rsid w:val="007C3A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F9B1-937B-46AE-ACFD-167EDA05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résolution – Transmission d’un projet de plan de gestion des matières résiduelles modifié à la suite de la consultation publique</vt:lpstr>
    </vt:vector>
  </TitlesOfParts>
  <Company>aomgmr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résolution – Transmission d’un projet de plan de gestion des matières résiduelles modifié à la suite de la consultation publique</dc:title>
  <dc:subject/>
  <dc:creator>RECYC-QUÉBEC</dc:creator>
  <cp:keywords/>
  <cp:lastModifiedBy>Kateri Beaulne-Belisle</cp:lastModifiedBy>
  <cp:revision>3</cp:revision>
  <cp:lastPrinted>2004-01-13T18:41:00Z</cp:lastPrinted>
  <dcterms:created xsi:type="dcterms:W3CDTF">2022-05-16T16:02:00Z</dcterms:created>
  <dcterms:modified xsi:type="dcterms:W3CDTF">2022-05-16T16:02:00Z</dcterms:modified>
</cp:coreProperties>
</file>