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BFF9" w14:textId="53FC48B3" w:rsidR="00F772CD" w:rsidRPr="000E76A9" w:rsidRDefault="00F772CD" w:rsidP="000E76A9">
      <w:pPr>
        <w:pStyle w:val="Corpsdetexte"/>
        <w:keepNext/>
        <w:keepLines/>
        <w:tabs>
          <w:tab w:val="clear" w:pos="1728"/>
          <w:tab w:val="clear" w:pos="2592"/>
          <w:tab w:val="clear" w:pos="3312"/>
          <w:tab w:val="clear" w:pos="3744"/>
          <w:tab w:val="clear" w:pos="5184"/>
          <w:tab w:val="clear" w:pos="5760"/>
          <w:tab w:val="clear" w:pos="6192"/>
          <w:tab w:val="clear" w:pos="76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Cs w:val="24"/>
        </w:rPr>
        <w:t xml:space="preserve">EXEMPLE DE PROJET DE RÉSOLUTION VISANT À </w:t>
      </w:r>
      <w:r w:rsidR="00D90EBB">
        <w:rPr>
          <w:rFonts w:ascii="Calibri" w:hAnsi="Calibri"/>
          <w:szCs w:val="24"/>
        </w:rPr>
        <w:t xml:space="preserve">AUTORISER LA </w:t>
      </w:r>
      <w:r>
        <w:rPr>
          <w:rFonts w:ascii="Calibri" w:hAnsi="Calibri"/>
          <w:szCs w:val="24"/>
        </w:rPr>
        <w:t>TRANSM</w:t>
      </w:r>
      <w:r w:rsidR="00D90EBB">
        <w:rPr>
          <w:rFonts w:ascii="Calibri" w:hAnsi="Calibri"/>
          <w:szCs w:val="24"/>
        </w:rPr>
        <w:t>ISSION</w:t>
      </w:r>
      <w:r>
        <w:rPr>
          <w:rFonts w:ascii="Calibri" w:hAnsi="Calibri"/>
          <w:szCs w:val="24"/>
        </w:rPr>
        <w:t xml:space="preserve"> </w:t>
      </w:r>
      <w:r w:rsidR="00D90EBB">
        <w:rPr>
          <w:rFonts w:ascii="Calibri" w:hAnsi="Calibri"/>
          <w:szCs w:val="24"/>
        </w:rPr>
        <w:t>DU</w:t>
      </w:r>
      <w:r w:rsidR="006B560A">
        <w:rPr>
          <w:rFonts w:ascii="Calibri" w:hAnsi="Calibri"/>
          <w:szCs w:val="24"/>
        </w:rPr>
        <w:t xml:space="preserve"> PROJET DE PGMR</w:t>
      </w:r>
      <w:r w:rsidR="00D90EBB">
        <w:rPr>
          <w:rFonts w:ascii="Calibri" w:hAnsi="Calibri"/>
          <w:szCs w:val="24"/>
        </w:rPr>
        <w:t>, APRÈS LA CONSULTATION PUBLIQUE</w:t>
      </w:r>
      <w:r w:rsidRPr="001B6344">
        <w:rPr>
          <w:rFonts w:ascii="Calibri" w:hAnsi="Calibri"/>
          <w:szCs w:val="24"/>
        </w:rPr>
        <w:t xml:space="preserve"> (article 53.</w:t>
      </w:r>
      <w:r w:rsidR="006B560A">
        <w:rPr>
          <w:rFonts w:ascii="Calibri" w:hAnsi="Calibri"/>
          <w:szCs w:val="24"/>
        </w:rPr>
        <w:t>16 </w:t>
      </w:r>
      <w:r w:rsidRPr="001B6344">
        <w:rPr>
          <w:rFonts w:ascii="Calibri" w:hAnsi="Calibri"/>
          <w:szCs w:val="24"/>
        </w:rPr>
        <w:t>LQE)</w:t>
      </w:r>
    </w:p>
    <w:p w14:paraId="45042C63" w14:textId="77777777" w:rsidR="006B560A" w:rsidRPr="000E76A9" w:rsidRDefault="006B560A" w:rsidP="000E76A9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pPr w:leftFromText="141" w:rightFromText="141" w:vertAnchor="page" w:horzAnchor="margin" w:tblpY="2401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606"/>
        <w:tblGridChange w:id="0">
          <w:tblGrid>
            <w:gridCol w:w="9606"/>
          </w:tblGrid>
        </w:tblGridChange>
      </w:tblGrid>
      <w:tr w:rsidR="00D90EBB" w:rsidRPr="006B560A" w14:paraId="6E68A643" w14:textId="77777777" w:rsidTr="00D90EBB">
        <w:trPr>
          <w:trHeight w:val="863"/>
        </w:trPr>
        <w:tc>
          <w:tcPr>
            <w:tcW w:w="9606" w:type="dxa"/>
            <w:shd w:val="clear" w:color="auto" w:fill="auto"/>
          </w:tcPr>
          <w:p w14:paraId="6752CBFD" w14:textId="15FB8A5E" w:rsidR="00D90EBB" w:rsidRPr="006B560A" w:rsidRDefault="00D90EBB" w:rsidP="00D90EBB">
            <w:pPr>
              <w:pStyle w:val="Titre1"/>
              <w:spacing w:before="120" w:after="120"/>
              <w:ind w:right="2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Suivant la fin du processus de consultation publique, l</w:t>
            </w:r>
            <w:r w:rsidRPr="006B56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a municipalité régionale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doit</w:t>
            </w:r>
            <w:r w:rsidRPr="006B56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transm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ettre</w:t>
            </w:r>
            <w:r w:rsidRPr="006B56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le</w:t>
            </w:r>
            <w:r w:rsidRPr="006B56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projet de PGMR à RECYC-QUÉBEC en vue de son analyse de conformité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, ainsi qu’aux municipalités régionales environnantes et</w:t>
            </w:r>
            <w:r w:rsidR="00A34562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, si applicable,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celles qui sont desservies par une installation d’élimination située sur le territoire d’application du PGMR projeté</w:t>
            </w:r>
            <w:r w:rsidRPr="006B56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</w:t>
            </w:r>
            <w:r w:rsidR="00A34562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our ce faire, il n’est pas obligatoire qu’elle adopte une</w:t>
            </w:r>
            <w:r w:rsidR="00A34562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résolution autorisant la transmission, mais l’exemple qui suit peut servir à cette fin si la municipalité régionale préfère en adopter une. </w:t>
            </w:r>
          </w:p>
        </w:tc>
      </w:tr>
    </w:tbl>
    <w:p w14:paraId="6F362314" w14:textId="7E9E79C0" w:rsidR="00F772CD" w:rsidRPr="000E76A9" w:rsidRDefault="00F772CD" w:rsidP="000E76A9">
      <w:pPr>
        <w:rPr>
          <w:rFonts w:asciiTheme="minorHAnsi" w:hAnsiTheme="minorHAnsi" w:cstheme="minorHAnsi"/>
          <w:b/>
          <w:bCs/>
        </w:rPr>
      </w:pPr>
    </w:p>
    <w:p w14:paraId="145A0BD7" w14:textId="1C26DEAE" w:rsidR="003369EF" w:rsidRPr="000E76A9" w:rsidRDefault="000A5F9F" w:rsidP="000E76A9">
      <w:pPr>
        <w:rPr>
          <w:snapToGrid w:val="0"/>
        </w:rPr>
      </w:pPr>
      <w:r w:rsidRPr="000E76A9">
        <w:rPr>
          <w:snapToGrid w:val="0"/>
        </w:rPr>
        <w:t xml:space="preserve"> </w:t>
      </w:r>
    </w:p>
    <w:p w14:paraId="5D84EDF4" w14:textId="5676B3C6" w:rsidR="003369EF" w:rsidRPr="00C90EE8" w:rsidRDefault="00207F3E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>Considérant que le plan de gestion des</w:t>
      </w:r>
      <w:r w:rsidR="001012B8">
        <w:rPr>
          <w:rFonts w:ascii="Calibri" w:hAnsi="Calibri" w:cs="Arial"/>
          <w:sz w:val="24"/>
          <w:szCs w:val="24"/>
        </w:rPr>
        <w:t xml:space="preserve"> matières résiduelles</w:t>
      </w:r>
      <w:r w:rsidR="00140259">
        <w:rPr>
          <w:rFonts w:ascii="Calibri" w:hAnsi="Calibri" w:cs="Arial"/>
          <w:sz w:val="24"/>
          <w:szCs w:val="24"/>
        </w:rPr>
        <w:t xml:space="preserve"> (PGMR)</w:t>
      </w:r>
      <w:r w:rsidR="001012B8">
        <w:rPr>
          <w:rFonts w:ascii="Calibri" w:hAnsi="Calibri" w:cs="Arial"/>
          <w:sz w:val="24"/>
          <w:szCs w:val="24"/>
        </w:rPr>
        <w:t xml:space="preserve"> de la </w:t>
      </w:r>
      <w:r w:rsidR="00533B8B">
        <w:rPr>
          <w:rFonts w:ascii="Calibri" w:hAnsi="Calibri" w:cs="Arial"/>
          <w:sz w:val="24"/>
          <w:szCs w:val="24"/>
          <w:highlight w:val="yellow"/>
        </w:rPr>
        <w:t>NO</w:t>
      </w:r>
      <w:bookmarkStart w:id="1" w:name="_Hlk102469733"/>
      <w:r w:rsidR="00533B8B" w:rsidRPr="004E720E">
        <w:rPr>
          <w:rFonts w:ascii="Calibri" w:hAnsi="Calibri"/>
          <w:sz w:val="24"/>
          <w:szCs w:val="24"/>
          <w:highlight w:val="yellow"/>
        </w:rPr>
        <w:t>M DE LA MUNICIPALITÉ RÉGIONALE</w:t>
      </w:r>
      <w:bookmarkEnd w:id="1"/>
      <w:r w:rsidR="001012B8">
        <w:rPr>
          <w:rFonts w:ascii="Calibri" w:hAnsi="Calibri" w:cs="Arial"/>
          <w:sz w:val="24"/>
          <w:szCs w:val="24"/>
        </w:rPr>
        <w:t xml:space="preserve"> </w:t>
      </w:r>
      <w:r w:rsidRPr="00C90EE8">
        <w:rPr>
          <w:rFonts w:ascii="Calibri" w:hAnsi="Calibri" w:cs="Arial"/>
          <w:sz w:val="24"/>
          <w:szCs w:val="24"/>
        </w:rPr>
        <w:t xml:space="preserve">est en vigueur depuis </w:t>
      </w:r>
      <w:r w:rsidRPr="000E76A9">
        <w:rPr>
          <w:rFonts w:ascii="Calibri" w:hAnsi="Calibri" w:cs="Arial"/>
          <w:sz w:val="24"/>
          <w:szCs w:val="24"/>
        </w:rPr>
        <w:t xml:space="preserve">le </w:t>
      </w:r>
      <w:r w:rsidR="00533B8B">
        <w:rPr>
          <w:rFonts w:ascii="Calibri" w:hAnsi="Calibri"/>
          <w:sz w:val="24"/>
          <w:szCs w:val="24"/>
          <w:highlight w:val="yellow"/>
        </w:rPr>
        <w:t>DATE</w:t>
      </w:r>
      <w:r w:rsidRPr="00C90EE8">
        <w:rPr>
          <w:rFonts w:ascii="Calibri" w:hAnsi="Calibri" w:cs="Arial"/>
          <w:sz w:val="24"/>
          <w:szCs w:val="24"/>
        </w:rPr>
        <w:t xml:space="preserve"> et qu’en vertu de l’article 53.23</w:t>
      </w:r>
      <w:r w:rsidR="00533B8B">
        <w:rPr>
          <w:rFonts w:ascii="Calibri" w:hAnsi="Calibri" w:cs="Arial"/>
          <w:sz w:val="24"/>
          <w:szCs w:val="24"/>
        </w:rPr>
        <w:t>.1</w:t>
      </w:r>
      <w:r w:rsidRPr="00C90EE8">
        <w:rPr>
          <w:rFonts w:ascii="Calibri" w:hAnsi="Calibri" w:cs="Arial"/>
          <w:sz w:val="24"/>
          <w:szCs w:val="24"/>
        </w:rPr>
        <w:t xml:space="preserve"> de la </w:t>
      </w:r>
      <w:r w:rsidRPr="00C90EE8">
        <w:rPr>
          <w:rFonts w:ascii="Calibri" w:hAnsi="Calibri" w:cs="Arial"/>
          <w:i/>
          <w:sz w:val="24"/>
          <w:szCs w:val="24"/>
        </w:rPr>
        <w:t>Loi sur la qualité de l’environnement</w:t>
      </w:r>
      <w:r w:rsidR="00140259">
        <w:rPr>
          <w:rFonts w:ascii="Calibri" w:hAnsi="Calibri" w:cs="Arial"/>
          <w:sz w:val="24"/>
          <w:szCs w:val="24"/>
        </w:rPr>
        <w:t xml:space="preserve"> (LQE)</w:t>
      </w:r>
      <w:r w:rsidRPr="00C90EE8">
        <w:rPr>
          <w:rFonts w:ascii="Calibri" w:hAnsi="Calibri" w:cs="Arial"/>
          <w:sz w:val="24"/>
          <w:szCs w:val="24"/>
        </w:rPr>
        <w:t xml:space="preserve">, les municipalités régionales ont la responsabilité de </w:t>
      </w:r>
      <w:r w:rsidR="000A5F9F" w:rsidRPr="00C90EE8">
        <w:rPr>
          <w:rFonts w:ascii="Calibri" w:hAnsi="Calibri" w:cs="Arial"/>
          <w:sz w:val="24"/>
          <w:szCs w:val="24"/>
        </w:rPr>
        <w:t xml:space="preserve">réviser ce document </w:t>
      </w:r>
      <w:r w:rsidR="00865711" w:rsidRPr="00C90EE8">
        <w:rPr>
          <w:rFonts w:ascii="Calibri" w:hAnsi="Calibri" w:cs="Arial"/>
          <w:sz w:val="24"/>
          <w:szCs w:val="24"/>
        </w:rPr>
        <w:t xml:space="preserve">tous les </w:t>
      </w:r>
      <w:r w:rsidR="001012B8">
        <w:rPr>
          <w:rFonts w:ascii="Calibri" w:hAnsi="Calibri" w:cs="Arial"/>
          <w:sz w:val="24"/>
          <w:szCs w:val="24"/>
        </w:rPr>
        <w:t>sept</w:t>
      </w:r>
      <w:r w:rsidRPr="00C90EE8">
        <w:rPr>
          <w:rFonts w:ascii="Calibri" w:hAnsi="Calibri" w:cs="Arial"/>
          <w:sz w:val="24"/>
          <w:szCs w:val="24"/>
        </w:rPr>
        <w:t xml:space="preserve"> ans;</w:t>
      </w:r>
    </w:p>
    <w:p w14:paraId="4FA981FB" w14:textId="3C3C8920" w:rsidR="0065045E" w:rsidRPr="00C90EE8" w:rsidRDefault="001012B8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Considérant que la </w:t>
      </w:r>
      <w:r w:rsidR="00533B8B">
        <w:rPr>
          <w:rFonts w:ascii="Calibri" w:hAnsi="Calibri" w:cs="Arial"/>
          <w:sz w:val="24"/>
          <w:szCs w:val="24"/>
          <w:highlight w:val="yellow"/>
        </w:rPr>
        <w:t>NO</w:t>
      </w:r>
      <w:r w:rsidR="00533B8B" w:rsidRPr="004E720E">
        <w:rPr>
          <w:rFonts w:ascii="Calibri" w:hAnsi="Calibri"/>
          <w:sz w:val="24"/>
          <w:szCs w:val="24"/>
          <w:highlight w:val="yellow"/>
        </w:rPr>
        <w:t>M DE LA MUNICIPALITÉ RÉGIONALE</w:t>
      </w:r>
      <w:r w:rsidR="0065045E" w:rsidRPr="00C90EE8">
        <w:rPr>
          <w:rFonts w:ascii="Calibri" w:hAnsi="Calibri" w:cs="Arial"/>
          <w:sz w:val="24"/>
          <w:szCs w:val="24"/>
        </w:rPr>
        <w:t xml:space="preserve"> a procédé à l’adoption d</w:t>
      </w:r>
      <w:r w:rsidR="00140259">
        <w:rPr>
          <w:rFonts w:ascii="Calibri" w:hAnsi="Calibri" w:cs="Arial"/>
          <w:sz w:val="24"/>
          <w:szCs w:val="24"/>
        </w:rPr>
        <w:t>’un</w:t>
      </w:r>
      <w:r w:rsidR="0065045E" w:rsidRPr="00C90EE8">
        <w:rPr>
          <w:rFonts w:ascii="Calibri" w:hAnsi="Calibri" w:cs="Arial"/>
          <w:sz w:val="24"/>
          <w:szCs w:val="24"/>
        </w:rPr>
        <w:t xml:space="preserve"> projet de </w:t>
      </w:r>
      <w:r w:rsidR="006B4FB6">
        <w:rPr>
          <w:rFonts w:ascii="Calibri" w:hAnsi="Calibri" w:cs="Arial"/>
          <w:sz w:val="24"/>
          <w:szCs w:val="24"/>
        </w:rPr>
        <w:t>PGMR</w:t>
      </w:r>
      <w:r w:rsidR="00140259">
        <w:rPr>
          <w:rFonts w:ascii="Calibri" w:hAnsi="Calibri" w:cs="Arial"/>
          <w:sz w:val="24"/>
          <w:szCs w:val="24"/>
        </w:rPr>
        <w:t xml:space="preserve"> révisé</w:t>
      </w:r>
      <w:r w:rsidR="0065045E" w:rsidRPr="00C90EE8">
        <w:rPr>
          <w:rFonts w:ascii="Calibri" w:hAnsi="Calibri" w:cs="Arial"/>
          <w:sz w:val="24"/>
          <w:szCs w:val="24"/>
        </w:rPr>
        <w:t xml:space="preserve"> </w:t>
      </w:r>
      <w:r w:rsidR="0065045E" w:rsidRPr="000E76A9">
        <w:rPr>
          <w:rFonts w:ascii="Calibri" w:hAnsi="Calibri" w:cs="Arial"/>
          <w:sz w:val="24"/>
          <w:szCs w:val="24"/>
        </w:rPr>
        <w:t xml:space="preserve">le </w:t>
      </w:r>
      <w:r w:rsidR="00533B8B" w:rsidRPr="000E76A9">
        <w:rPr>
          <w:rFonts w:ascii="Calibri" w:hAnsi="Calibri" w:cs="Arial"/>
          <w:sz w:val="24"/>
          <w:szCs w:val="24"/>
          <w:highlight w:val="yellow"/>
        </w:rPr>
        <w:t>DATE</w:t>
      </w:r>
      <w:r w:rsidR="006B4FB6">
        <w:rPr>
          <w:rFonts w:ascii="Calibri" w:hAnsi="Calibri" w:cs="Arial"/>
          <w:sz w:val="24"/>
          <w:szCs w:val="24"/>
        </w:rPr>
        <w:t>, par sa résolution n</w:t>
      </w:r>
      <w:r w:rsidR="006B4FB6">
        <w:rPr>
          <w:rFonts w:ascii="Calibri" w:hAnsi="Calibri" w:cs="Calibri"/>
          <w:sz w:val="24"/>
          <w:szCs w:val="24"/>
        </w:rPr>
        <w:t>°</w:t>
      </w:r>
      <w:r w:rsidR="006B4FB6">
        <w:rPr>
          <w:rFonts w:ascii="Calibri" w:hAnsi="Calibri" w:cs="Arial"/>
          <w:sz w:val="24"/>
          <w:szCs w:val="24"/>
        </w:rPr>
        <w:t xml:space="preserve"> </w:t>
      </w:r>
      <w:r w:rsidR="006B4FB6" w:rsidRPr="000E76A9">
        <w:rPr>
          <w:rFonts w:ascii="Calibri" w:hAnsi="Calibri" w:cs="Arial"/>
          <w:sz w:val="24"/>
          <w:szCs w:val="24"/>
          <w:highlight w:val="yellow"/>
        </w:rPr>
        <w:t>NUMÉRO</w:t>
      </w:r>
      <w:r w:rsidR="0065045E" w:rsidRPr="00C90EE8">
        <w:rPr>
          <w:rFonts w:ascii="Calibri" w:hAnsi="Calibri" w:cs="Arial"/>
          <w:sz w:val="24"/>
          <w:szCs w:val="24"/>
        </w:rPr>
        <w:t>;</w:t>
      </w:r>
    </w:p>
    <w:p w14:paraId="34EC59F1" w14:textId="5A42E966" w:rsidR="0065045E" w:rsidRPr="00C90EE8" w:rsidRDefault="0065045E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>Considérant que</w:t>
      </w:r>
      <w:r w:rsidR="00140259">
        <w:rPr>
          <w:rFonts w:ascii="Calibri" w:hAnsi="Calibri" w:cs="Arial"/>
          <w:sz w:val="24"/>
          <w:szCs w:val="24"/>
        </w:rPr>
        <w:t xml:space="preserve">, conformément à l’article 53.14 </w:t>
      </w:r>
      <w:r w:rsidR="00B679A1">
        <w:rPr>
          <w:rFonts w:ascii="Calibri" w:hAnsi="Calibri" w:cs="Arial"/>
          <w:sz w:val="24"/>
          <w:szCs w:val="24"/>
        </w:rPr>
        <w:t xml:space="preserve">de la </w:t>
      </w:r>
      <w:r w:rsidR="00140259">
        <w:rPr>
          <w:rFonts w:ascii="Calibri" w:hAnsi="Calibri" w:cs="Arial"/>
          <w:sz w:val="24"/>
          <w:szCs w:val="24"/>
        </w:rPr>
        <w:t>LQE,</w:t>
      </w:r>
      <w:r w:rsidRPr="00C90EE8">
        <w:rPr>
          <w:rFonts w:ascii="Calibri" w:hAnsi="Calibri" w:cs="Arial"/>
          <w:sz w:val="24"/>
          <w:szCs w:val="24"/>
        </w:rPr>
        <w:t xml:space="preserve"> le projet de </w:t>
      </w:r>
      <w:r w:rsidR="00140259">
        <w:rPr>
          <w:rFonts w:ascii="Calibri" w:hAnsi="Calibri" w:cs="Arial"/>
          <w:sz w:val="24"/>
          <w:szCs w:val="24"/>
        </w:rPr>
        <w:t xml:space="preserve">PGMR </w:t>
      </w:r>
      <w:r w:rsidRPr="00C90EE8">
        <w:rPr>
          <w:rFonts w:ascii="Calibri" w:hAnsi="Calibri" w:cs="Arial"/>
          <w:sz w:val="24"/>
          <w:szCs w:val="24"/>
        </w:rPr>
        <w:t xml:space="preserve">a été soumis à 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une/des</w:t>
      </w:r>
      <w:r w:rsidR="00B679A1">
        <w:rPr>
          <w:rFonts w:ascii="Calibri" w:hAnsi="Calibri" w:cs="Arial"/>
          <w:sz w:val="24"/>
          <w:szCs w:val="24"/>
        </w:rPr>
        <w:t xml:space="preserve"> assemblée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(s)</w:t>
      </w:r>
      <w:r w:rsidR="00B679A1">
        <w:rPr>
          <w:rFonts w:ascii="Calibri" w:hAnsi="Calibri" w:cs="Arial"/>
          <w:sz w:val="24"/>
          <w:szCs w:val="24"/>
        </w:rPr>
        <w:t xml:space="preserve"> </w:t>
      </w:r>
      <w:r w:rsidRPr="00C90EE8">
        <w:rPr>
          <w:rFonts w:ascii="Calibri" w:hAnsi="Calibri" w:cs="Arial"/>
          <w:sz w:val="24"/>
          <w:szCs w:val="24"/>
        </w:rPr>
        <w:t>de consultation publique</w:t>
      </w:r>
      <w:r w:rsidR="006B4FB6">
        <w:rPr>
          <w:rFonts w:ascii="Calibri" w:hAnsi="Calibri" w:cs="Arial"/>
          <w:sz w:val="24"/>
          <w:szCs w:val="24"/>
        </w:rPr>
        <w:t>, et ce,</w:t>
      </w:r>
      <w:r w:rsidRPr="00C90EE8">
        <w:rPr>
          <w:rFonts w:ascii="Calibri" w:hAnsi="Calibri" w:cs="Arial"/>
          <w:sz w:val="24"/>
          <w:szCs w:val="24"/>
        </w:rPr>
        <w:t xml:space="preserve"> dans un délai d’au moins 45</w:t>
      </w:r>
      <w:r w:rsidR="00534379" w:rsidRPr="00C90EE8">
        <w:rPr>
          <w:rFonts w:ascii="Calibri" w:hAnsi="Calibri" w:cs="Arial"/>
          <w:sz w:val="24"/>
          <w:szCs w:val="24"/>
        </w:rPr>
        <w:t> </w:t>
      </w:r>
      <w:r w:rsidRPr="00C90EE8">
        <w:rPr>
          <w:rFonts w:ascii="Calibri" w:hAnsi="Calibri" w:cs="Arial"/>
          <w:sz w:val="24"/>
          <w:szCs w:val="24"/>
        </w:rPr>
        <w:t xml:space="preserve">jours suivant la publication </w:t>
      </w:r>
      <w:r w:rsidR="004D51CC" w:rsidRPr="00C90EE8">
        <w:rPr>
          <w:rFonts w:ascii="Calibri" w:hAnsi="Calibri" w:cs="Arial"/>
          <w:sz w:val="24"/>
          <w:szCs w:val="24"/>
        </w:rPr>
        <w:t xml:space="preserve">du </w:t>
      </w:r>
      <w:r w:rsidRPr="00C90EE8">
        <w:rPr>
          <w:rFonts w:ascii="Calibri" w:hAnsi="Calibri" w:cs="Arial"/>
          <w:sz w:val="24"/>
          <w:szCs w:val="24"/>
        </w:rPr>
        <w:t xml:space="preserve">sommaire du projet de </w:t>
      </w:r>
      <w:r w:rsidR="00140259">
        <w:rPr>
          <w:rFonts w:ascii="Calibri" w:hAnsi="Calibri" w:cs="Arial"/>
          <w:sz w:val="24"/>
          <w:szCs w:val="24"/>
        </w:rPr>
        <w:t>PGMR</w:t>
      </w:r>
      <w:r w:rsidRPr="00C90EE8">
        <w:rPr>
          <w:rFonts w:ascii="Calibri" w:hAnsi="Calibri" w:cs="Arial"/>
          <w:sz w:val="24"/>
          <w:szCs w:val="24"/>
        </w:rPr>
        <w:t xml:space="preserve"> accompagné d’un avis indiquant </w:t>
      </w:r>
      <w:r w:rsidRPr="000E76A9">
        <w:rPr>
          <w:rFonts w:ascii="Calibri" w:hAnsi="Calibri" w:cs="Arial"/>
          <w:sz w:val="24"/>
          <w:szCs w:val="24"/>
          <w:highlight w:val="yellow"/>
        </w:rPr>
        <w:t>la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/les</w:t>
      </w:r>
      <w:r w:rsidRPr="00C90EE8">
        <w:rPr>
          <w:rFonts w:ascii="Calibri" w:hAnsi="Calibri" w:cs="Arial"/>
          <w:sz w:val="24"/>
          <w:szCs w:val="24"/>
        </w:rPr>
        <w:t xml:space="preserve"> date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(s)</w:t>
      </w:r>
      <w:r w:rsidRPr="00C90EE8">
        <w:rPr>
          <w:rFonts w:ascii="Calibri" w:hAnsi="Calibri" w:cs="Arial"/>
          <w:sz w:val="24"/>
          <w:szCs w:val="24"/>
        </w:rPr>
        <w:t xml:space="preserve">, </w:t>
      </w:r>
      <w:r w:rsidRPr="000E76A9">
        <w:rPr>
          <w:rFonts w:ascii="Calibri" w:hAnsi="Calibri" w:cs="Arial"/>
          <w:sz w:val="24"/>
          <w:szCs w:val="24"/>
          <w:highlight w:val="yellow"/>
        </w:rPr>
        <w:t>l’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/les</w:t>
      </w:r>
      <w:r w:rsidR="00B679A1">
        <w:rPr>
          <w:rFonts w:ascii="Calibri" w:hAnsi="Calibri" w:cs="Arial"/>
          <w:sz w:val="24"/>
          <w:szCs w:val="24"/>
        </w:rPr>
        <w:t xml:space="preserve"> </w:t>
      </w:r>
      <w:r w:rsidRPr="00C90EE8">
        <w:rPr>
          <w:rFonts w:ascii="Calibri" w:hAnsi="Calibri" w:cs="Arial"/>
          <w:sz w:val="24"/>
          <w:szCs w:val="24"/>
        </w:rPr>
        <w:t>heure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(s)</w:t>
      </w:r>
      <w:r w:rsidRPr="00C90EE8">
        <w:rPr>
          <w:rFonts w:ascii="Calibri" w:hAnsi="Calibri" w:cs="Arial"/>
          <w:sz w:val="24"/>
          <w:szCs w:val="24"/>
        </w:rPr>
        <w:t xml:space="preserve"> et </w:t>
      </w:r>
      <w:r w:rsidRPr="000E76A9">
        <w:rPr>
          <w:rFonts w:ascii="Calibri" w:hAnsi="Calibri" w:cs="Arial"/>
          <w:sz w:val="24"/>
          <w:szCs w:val="24"/>
          <w:highlight w:val="yellow"/>
        </w:rPr>
        <w:t>le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/les</w:t>
      </w:r>
      <w:r w:rsidRPr="00C90EE8">
        <w:rPr>
          <w:rFonts w:ascii="Calibri" w:hAnsi="Calibri" w:cs="Arial"/>
          <w:sz w:val="24"/>
          <w:szCs w:val="24"/>
        </w:rPr>
        <w:t xml:space="preserve"> lieu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(x)</w:t>
      </w:r>
      <w:r w:rsidRPr="00C90EE8">
        <w:rPr>
          <w:rFonts w:ascii="Calibri" w:hAnsi="Calibri" w:cs="Arial"/>
          <w:sz w:val="24"/>
          <w:szCs w:val="24"/>
        </w:rPr>
        <w:t xml:space="preserve"> </w:t>
      </w:r>
      <w:r w:rsidRPr="000E76A9">
        <w:rPr>
          <w:rFonts w:ascii="Calibri" w:hAnsi="Calibri" w:cs="Arial"/>
          <w:sz w:val="24"/>
          <w:szCs w:val="24"/>
          <w:highlight w:val="yellow"/>
        </w:rPr>
        <w:t>de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 xml:space="preserve"> l’/de</w:t>
      </w:r>
      <w:r w:rsidRPr="000E76A9">
        <w:rPr>
          <w:rFonts w:ascii="Calibri" w:hAnsi="Calibri" w:cs="Arial"/>
          <w:sz w:val="24"/>
          <w:szCs w:val="24"/>
          <w:highlight w:val="yellow"/>
        </w:rPr>
        <w:t>s</w:t>
      </w:r>
      <w:r w:rsidRPr="00C90EE8">
        <w:rPr>
          <w:rFonts w:ascii="Calibri" w:hAnsi="Calibri" w:cs="Arial"/>
          <w:sz w:val="24"/>
          <w:szCs w:val="24"/>
        </w:rPr>
        <w:t xml:space="preserve"> assemblée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(</w:t>
      </w:r>
      <w:r w:rsidRPr="000E76A9">
        <w:rPr>
          <w:rFonts w:ascii="Calibri" w:hAnsi="Calibri" w:cs="Arial"/>
          <w:sz w:val="24"/>
          <w:szCs w:val="24"/>
          <w:highlight w:val="yellow"/>
        </w:rPr>
        <w:t>s</w:t>
      </w:r>
      <w:r w:rsidR="00B679A1" w:rsidRPr="000E76A9">
        <w:rPr>
          <w:rFonts w:ascii="Calibri" w:hAnsi="Calibri" w:cs="Arial"/>
          <w:sz w:val="24"/>
          <w:szCs w:val="24"/>
          <w:highlight w:val="yellow"/>
        </w:rPr>
        <w:t>)</w:t>
      </w:r>
      <w:r w:rsidRPr="00C90EE8">
        <w:rPr>
          <w:rFonts w:ascii="Calibri" w:hAnsi="Calibri" w:cs="Arial"/>
          <w:sz w:val="24"/>
          <w:szCs w:val="24"/>
        </w:rPr>
        <w:t>;</w:t>
      </w:r>
    </w:p>
    <w:p w14:paraId="6A4351A2" w14:textId="5CA9EF88" w:rsidR="0065045E" w:rsidRPr="00C90EE8" w:rsidRDefault="0065045E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 xml:space="preserve">Considérant que </w:t>
      </w:r>
      <w:r w:rsidRPr="000E76A9">
        <w:rPr>
          <w:rFonts w:ascii="Calibri" w:hAnsi="Calibri" w:cs="Arial"/>
          <w:sz w:val="24"/>
          <w:szCs w:val="24"/>
          <w:highlight w:val="yellow"/>
        </w:rPr>
        <w:t>l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’/les</w:t>
      </w:r>
      <w:r w:rsidR="000E7B67">
        <w:rPr>
          <w:rFonts w:ascii="Calibri" w:hAnsi="Calibri" w:cs="Arial"/>
          <w:sz w:val="24"/>
          <w:szCs w:val="24"/>
        </w:rPr>
        <w:t xml:space="preserve"> assemblée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(s)</w:t>
      </w:r>
      <w:r w:rsidR="001012B8">
        <w:rPr>
          <w:rFonts w:ascii="Calibri" w:hAnsi="Calibri" w:cs="Arial"/>
          <w:sz w:val="24"/>
          <w:szCs w:val="24"/>
        </w:rPr>
        <w:t xml:space="preserve"> publique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(s)</w:t>
      </w:r>
      <w:r w:rsidR="001012B8">
        <w:rPr>
          <w:rFonts w:ascii="Calibri" w:hAnsi="Calibri" w:cs="Arial"/>
          <w:sz w:val="24"/>
          <w:szCs w:val="24"/>
        </w:rPr>
        <w:t xml:space="preserve"> 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a/ont</w:t>
      </w:r>
      <w:r w:rsidRPr="00C90EE8">
        <w:rPr>
          <w:rFonts w:ascii="Calibri" w:hAnsi="Calibri" w:cs="Arial"/>
          <w:sz w:val="24"/>
          <w:szCs w:val="24"/>
        </w:rPr>
        <w:t xml:space="preserve"> eu lieu </w:t>
      </w:r>
      <w:r w:rsidR="000E7B67">
        <w:rPr>
          <w:rFonts w:ascii="Calibri" w:hAnsi="Calibri" w:cs="Arial"/>
          <w:sz w:val="24"/>
          <w:szCs w:val="24"/>
          <w:highlight w:val="yellow"/>
        </w:rPr>
        <w:t>DATE(S)</w:t>
      </w:r>
      <w:r w:rsidRPr="00C90EE8">
        <w:rPr>
          <w:rFonts w:ascii="Calibri" w:hAnsi="Calibri" w:cs="Arial"/>
          <w:sz w:val="24"/>
          <w:szCs w:val="24"/>
        </w:rPr>
        <w:t>;</w:t>
      </w:r>
    </w:p>
    <w:p w14:paraId="339FA0F3" w14:textId="7056AFB0" w:rsidR="00123772" w:rsidRPr="00C90EE8" w:rsidRDefault="00123772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>Considérant</w:t>
      </w:r>
      <w:r w:rsidR="0067144E">
        <w:rPr>
          <w:rFonts w:ascii="Calibri" w:hAnsi="Calibri" w:cs="Arial"/>
          <w:sz w:val="24"/>
          <w:szCs w:val="24"/>
        </w:rPr>
        <w:t xml:space="preserve"> que, conformément à l’article 53.15 </w:t>
      </w:r>
      <w:r w:rsidR="000E7B67">
        <w:rPr>
          <w:rFonts w:ascii="Calibri" w:hAnsi="Calibri" w:cs="Arial"/>
          <w:sz w:val="24"/>
          <w:szCs w:val="24"/>
        </w:rPr>
        <w:t xml:space="preserve">de la </w:t>
      </w:r>
      <w:r w:rsidR="0067144E">
        <w:rPr>
          <w:rFonts w:ascii="Calibri" w:hAnsi="Calibri" w:cs="Arial"/>
          <w:sz w:val="24"/>
          <w:szCs w:val="24"/>
        </w:rPr>
        <w:t>LQE,</w:t>
      </w:r>
      <w:r w:rsidRPr="00C90EE8">
        <w:rPr>
          <w:rFonts w:ascii="Calibri" w:hAnsi="Calibri" w:cs="Arial"/>
          <w:sz w:val="24"/>
          <w:szCs w:val="24"/>
        </w:rPr>
        <w:t xml:space="preserve"> un rapport </w:t>
      </w:r>
      <w:r w:rsidR="00071BC5">
        <w:rPr>
          <w:rFonts w:ascii="Calibri" w:hAnsi="Calibri" w:cs="Arial"/>
          <w:sz w:val="24"/>
          <w:szCs w:val="24"/>
        </w:rPr>
        <w:t xml:space="preserve">faisant </w:t>
      </w:r>
      <w:r w:rsidR="0067144E">
        <w:rPr>
          <w:rFonts w:ascii="Calibri" w:hAnsi="Calibri" w:cs="Arial"/>
          <w:sz w:val="24"/>
          <w:szCs w:val="24"/>
        </w:rPr>
        <w:t xml:space="preserve">notamment </w:t>
      </w:r>
      <w:r w:rsidR="00071BC5">
        <w:rPr>
          <w:rFonts w:ascii="Calibri" w:hAnsi="Calibri" w:cs="Arial"/>
          <w:sz w:val="24"/>
          <w:szCs w:val="24"/>
        </w:rPr>
        <w:t xml:space="preserve">état des observations recueillies lors de </w:t>
      </w:r>
      <w:r w:rsidR="00071BC5" w:rsidRPr="000E76A9">
        <w:rPr>
          <w:rFonts w:ascii="Calibri" w:hAnsi="Calibri" w:cs="Arial"/>
          <w:sz w:val="24"/>
          <w:szCs w:val="24"/>
          <w:highlight w:val="yellow"/>
        </w:rPr>
        <w:t>ce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tte/ce</w:t>
      </w:r>
      <w:r w:rsidR="00071BC5" w:rsidRPr="000E76A9">
        <w:rPr>
          <w:rFonts w:ascii="Calibri" w:hAnsi="Calibri" w:cs="Arial"/>
          <w:sz w:val="24"/>
          <w:szCs w:val="24"/>
          <w:highlight w:val="yellow"/>
        </w:rPr>
        <w:t>s</w:t>
      </w:r>
      <w:r w:rsidR="00071BC5">
        <w:rPr>
          <w:rFonts w:ascii="Calibri" w:hAnsi="Calibri" w:cs="Arial"/>
          <w:sz w:val="24"/>
          <w:szCs w:val="24"/>
        </w:rPr>
        <w:t xml:space="preserve"> assemblée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(</w:t>
      </w:r>
      <w:r w:rsidR="00071BC5" w:rsidRPr="000E76A9">
        <w:rPr>
          <w:rFonts w:ascii="Calibri" w:hAnsi="Calibri" w:cs="Arial"/>
          <w:sz w:val="24"/>
          <w:szCs w:val="24"/>
          <w:highlight w:val="yellow"/>
        </w:rPr>
        <w:t>s</w:t>
      </w:r>
      <w:r w:rsidR="000E7B67" w:rsidRPr="000E76A9">
        <w:rPr>
          <w:rFonts w:ascii="Calibri" w:hAnsi="Calibri" w:cs="Arial"/>
          <w:sz w:val="24"/>
          <w:szCs w:val="24"/>
          <w:highlight w:val="yellow"/>
        </w:rPr>
        <w:t>)</w:t>
      </w:r>
      <w:r w:rsidR="00071BC5">
        <w:rPr>
          <w:rFonts w:ascii="Calibri" w:hAnsi="Calibri" w:cs="Arial"/>
          <w:sz w:val="24"/>
          <w:szCs w:val="24"/>
        </w:rPr>
        <w:t xml:space="preserve"> </w:t>
      </w:r>
      <w:r w:rsidRPr="00C90EE8">
        <w:rPr>
          <w:rFonts w:ascii="Calibri" w:hAnsi="Calibri" w:cs="Arial"/>
          <w:sz w:val="24"/>
          <w:szCs w:val="24"/>
        </w:rPr>
        <w:t xml:space="preserve">a été produit et </w:t>
      </w:r>
      <w:r w:rsidR="001012B8">
        <w:rPr>
          <w:rFonts w:ascii="Calibri" w:hAnsi="Calibri" w:cs="Arial"/>
          <w:sz w:val="24"/>
          <w:szCs w:val="24"/>
        </w:rPr>
        <w:t xml:space="preserve">a été rendu </w:t>
      </w:r>
      <w:r w:rsidR="000E7B67">
        <w:rPr>
          <w:rFonts w:ascii="Calibri" w:hAnsi="Calibri" w:cs="Arial"/>
          <w:sz w:val="24"/>
          <w:szCs w:val="24"/>
        </w:rPr>
        <w:t xml:space="preserve">accessible au </w:t>
      </w:r>
      <w:r w:rsidR="001012B8">
        <w:rPr>
          <w:rFonts w:ascii="Calibri" w:hAnsi="Calibri" w:cs="Arial"/>
          <w:sz w:val="24"/>
          <w:szCs w:val="24"/>
        </w:rPr>
        <w:t xml:space="preserve">public </w:t>
      </w:r>
      <w:r w:rsidR="000E7B67">
        <w:rPr>
          <w:rFonts w:ascii="Calibri" w:hAnsi="Calibri" w:cs="Arial"/>
          <w:sz w:val="24"/>
          <w:szCs w:val="24"/>
        </w:rPr>
        <w:t>dès</w:t>
      </w:r>
      <w:r w:rsidR="001012B8">
        <w:rPr>
          <w:rFonts w:ascii="Calibri" w:hAnsi="Calibri" w:cs="Arial"/>
          <w:sz w:val="24"/>
          <w:szCs w:val="24"/>
        </w:rPr>
        <w:t xml:space="preserve"> sa </w:t>
      </w:r>
      <w:r w:rsidRPr="00C90EE8">
        <w:rPr>
          <w:rFonts w:ascii="Calibri" w:hAnsi="Calibri" w:cs="Arial"/>
          <w:sz w:val="24"/>
          <w:szCs w:val="24"/>
        </w:rPr>
        <w:t>transmis</w:t>
      </w:r>
      <w:r w:rsidR="001012B8">
        <w:rPr>
          <w:rFonts w:ascii="Calibri" w:hAnsi="Calibri" w:cs="Arial"/>
          <w:sz w:val="24"/>
          <w:szCs w:val="24"/>
        </w:rPr>
        <w:t>sion</w:t>
      </w:r>
      <w:r w:rsidRPr="00C90EE8">
        <w:rPr>
          <w:rFonts w:ascii="Calibri" w:hAnsi="Calibri" w:cs="Arial"/>
          <w:sz w:val="24"/>
          <w:szCs w:val="24"/>
        </w:rPr>
        <w:t xml:space="preserve"> au conseil </w:t>
      </w:r>
      <w:r w:rsidR="001012B8" w:rsidRPr="000E76A9">
        <w:rPr>
          <w:rFonts w:ascii="Calibri" w:hAnsi="Calibri" w:cs="Arial"/>
          <w:sz w:val="24"/>
          <w:szCs w:val="24"/>
        </w:rPr>
        <w:t>le</w:t>
      </w:r>
      <w:r w:rsidR="000E7B67" w:rsidRPr="000E76A9">
        <w:rPr>
          <w:rFonts w:ascii="Calibri" w:hAnsi="Calibri" w:cs="Arial"/>
          <w:sz w:val="24"/>
          <w:szCs w:val="24"/>
        </w:rPr>
        <w:t xml:space="preserve"> </w:t>
      </w:r>
      <w:r w:rsidR="000E7B67">
        <w:rPr>
          <w:rFonts w:ascii="Calibri" w:hAnsi="Calibri" w:cs="Arial"/>
          <w:sz w:val="24"/>
          <w:szCs w:val="24"/>
          <w:highlight w:val="yellow"/>
        </w:rPr>
        <w:t>DATE</w:t>
      </w:r>
      <w:r w:rsidRPr="000E76A9">
        <w:rPr>
          <w:rFonts w:ascii="Calibri" w:hAnsi="Calibri" w:cs="Arial"/>
          <w:sz w:val="24"/>
          <w:szCs w:val="24"/>
        </w:rPr>
        <w:t>;</w:t>
      </w:r>
    </w:p>
    <w:p w14:paraId="0DEE4FBD" w14:textId="2E714623" w:rsidR="00123772" w:rsidRPr="00C90EE8" w:rsidRDefault="0065045E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1012B8">
        <w:rPr>
          <w:rFonts w:ascii="Calibri" w:hAnsi="Calibri" w:cs="Arial"/>
          <w:sz w:val="24"/>
          <w:szCs w:val="24"/>
          <w:highlight w:val="yellow"/>
        </w:rPr>
        <w:t>Considérant que le projet de PGMR a été modifié pour tenir compte des avis reçus lors de</w:t>
      </w:r>
      <w:r w:rsidR="001012B8" w:rsidRPr="001012B8">
        <w:rPr>
          <w:rFonts w:ascii="Calibri" w:hAnsi="Calibri" w:cs="Arial"/>
          <w:sz w:val="24"/>
          <w:szCs w:val="24"/>
          <w:highlight w:val="yellow"/>
        </w:rPr>
        <w:t xml:space="preserve"> cette</w:t>
      </w:r>
      <w:r w:rsidR="000E7B67">
        <w:rPr>
          <w:rFonts w:ascii="Calibri" w:hAnsi="Calibri" w:cs="Arial"/>
          <w:sz w:val="24"/>
          <w:szCs w:val="24"/>
          <w:highlight w:val="yellow"/>
        </w:rPr>
        <w:t>/ces</w:t>
      </w:r>
      <w:r w:rsidR="001012B8" w:rsidRPr="001012B8">
        <w:rPr>
          <w:rFonts w:ascii="Calibri" w:hAnsi="Calibri" w:cs="Arial"/>
          <w:sz w:val="24"/>
          <w:szCs w:val="24"/>
          <w:highlight w:val="yellow"/>
        </w:rPr>
        <w:t xml:space="preserve"> </w:t>
      </w:r>
      <w:r w:rsidR="000E7B67">
        <w:rPr>
          <w:rFonts w:ascii="Calibri" w:hAnsi="Calibri" w:cs="Arial"/>
          <w:sz w:val="24"/>
          <w:szCs w:val="24"/>
          <w:highlight w:val="yellow"/>
        </w:rPr>
        <w:t>assemblée(s)</w:t>
      </w:r>
      <w:r w:rsidR="000E7B67" w:rsidRPr="001012B8">
        <w:rPr>
          <w:rFonts w:ascii="Calibri" w:hAnsi="Calibri" w:cs="Arial"/>
          <w:sz w:val="24"/>
          <w:szCs w:val="24"/>
          <w:highlight w:val="yellow"/>
        </w:rPr>
        <w:t xml:space="preserve"> </w:t>
      </w:r>
      <w:r w:rsidR="001012B8" w:rsidRPr="001012B8">
        <w:rPr>
          <w:rFonts w:ascii="Calibri" w:hAnsi="Calibri" w:cs="Arial"/>
          <w:sz w:val="24"/>
          <w:szCs w:val="24"/>
          <w:highlight w:val="yellow"/>
        </w:rPr>
        <w:t>publique</w:t>
      </w:r>
      <w:r w:rsidR="000E7B67">
        <w:rPr>
          <w:rFonts w:ascii="Calibri" w:hAnsi="Calibri" w:cs="Arial"/>
          <w:sz w:val="24"/>
          <w:szCs w:val="24"/>
          <w:highlight w:val="yellow"/>
        </w:rPr>
        <w:t>(s)</w:t>
      </w:r>
      <w:r w:rsidR="00123772" w:rsidRPr="000E76A9">
        <w:rPr>
          <w:rFonts w:ascii="Calibri" w:hAnsi="Calibri" w:cs="Arial"/>
          <w:sz w:val="24"/>
          <w:szCs w:val="24"/>
        </w:rPr>
        <w:t>;</w:t>
      </w:r>
      <w:r w:rsidRPr="00C90EE8">
        <w:rPr>
          <w:rFonts w:ascii="Calibri" w:hAnsi="Calibri" w:cs="Arial"/>
          <w:sz w:val="24"/>
          <w:szCs w:val="24"/>
        </w:rPr>
        <w:t xml:space="preserve"> </w:t>
      </w:r>
    </w:p>
    <w:p w14:paraId="0A75C7C0" w14:textId="21294EA6" w:rsidR="0065045E" w:rsidRPr="00C90EE8" w:rsidRDefault="00123772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 xml:space="preserve">Considérant que ce projet de </w:t>
      </w:r>
      <w:r w:rsidR="0067144E">
        <w:rPr>
          <w:rFonts w:ascii="Calibri" w:hAnsi="Calibri" w:cs="Arial"/>
          <w:sz w:val="24"/>
          <w:szCs w:val="24"/>
        </w:rPr>
        <w:t>PGMR</w:t>
      </w:r>
      <w:r w:rsidRPr="00C90EE8">
        <w:rPr>
          <w:rFonts w:ascii="Calibri" w:hAnsi="Calibri" w:cs="Arial"/>
          <w:sz w:val="24"/>
          <w:szCs w:val="24"/>
        </w:rPr>
        <w:t xml:space="preserve"> et le rapport de consultation</w:t>
      </w:r>
      <w:r w:rsidR="00366933">
        <w:rPr>
          <w:rFonts w:ascii="Calibri" w:hAnsi="Calibri" w:cs="Arial"/>
          <w:sz w:val="24"/>
          <w:szCs w:val="24"/>
        </w:rPr>
        <w:t xml:space="preserve"> publique</w:t>
      </w:r>
      <w:r w:rsidRPr="00C90EE8">
        <w:rPr>
          <w:rFonts w:ascii="Calibri" w:hAnsi="Calibri" w:cs="Arial"/>
          <w:sz w:val="24"/>
          <w:szCs w:val="24"/>
        </w:rPr>
        <w:t xml:space="preserve"> doivent </w:t>
      </w:r>
      <w:r w:rsidR="0065045E" w:rsidRPr="00C90EE8">
        <w:rPr>
          <w:rFonts w:ascii="Calibri" w:hAnsi="Calibri" w:cs="Arial"/>
          <w:sz w:val="24"/>
          <w:szCs w:val="24"/>
        </w:rPr>
        <w:t xml:space="preserve">maintenant être transmis </w:t>
      </w:r>
      <w:r w:rsidR="001012B8">
        <w:rPr>
          <w:rFonts w:ascii="Calibri" w:hAnsi="Calibri" w:cs="Arial"/>
          <w:sz w:val="24"/>
          <w:szCs w:val="24"/>
        </w:rPr>
        <w:t>à RECYC-QUÉBEC</w:t>
      </w:r>
      <w:r w:rsidRPr="00C90EE8">
        <w:rPr>
          <w:rFonts w:ascii="Calibri" w:hAnsi="Calibri" w:cs="Arial"/>
          <w:sz w:val="24"/>
          <w:szCs w:val="24"/>
        </w:rPr>
        <w:t xml:space="preserve">, </w:t>
      </w:r>
      <w:r w:rsidR="0065045E" w:rsidRPr="00C90EE8">
        <w:rPr>
          <w:rFonts w:ascii="Calibri" w:hAnsi="Calibri" w:cs="Arial"/>
          <w:sz w:val="24"/>
          <w:szCs w:val="24"/>
        </w:rPr>
        <w:t xml:space="preserve">ainsi qu’à chaque </w:t>
      </w:r>
      <w:r w:rsidR="00291585">
        <w:rPr>
          <w:rFonts w:ascii="Calibri" w:hAnsi="Calibri" w:cs="Arial"/>
          <w:sz w:val="24"/>
          <w:szCs w:val="24"/>
        </w:rPr>
        <w:t>municipalité régionale</w:t>
      </w:r>
      <w:r w:rsidR="00366933">
        <w:rPr>
          <w:rFonts w:ascii="Calibri" w:hAnsi="Calibri" w:cs="Arial"/>
          <w:sz w:val="24"/>
          <w:szCs w:val="24"/>
        </w:rPr>
        <w:t xml:space="preserve"> </w:t>
      </w:r>
      <w:r w:rsidR="0065045E" w:rsidRPr="00C90EE8">
        <w:rPr>
          <w:rFonts w:ascii="Calibri" w:hAnsi="Calibri" w:cs="Arial"/>
          <w:sz w:val="24"/>
          <w:szCs w:val="24"/>
        </w:rPr>
        <w:t xml:space="preserve">environnante ou qui est desservie par une installation d’élimination située sur le territoire d’application du </w:t>
      </w:r>
      <w:r w:rsidR="00291585">
        <w:rPr>
          <w:rFonts w:ascii="Calibri" w:hAnsi="Calibri" w:cs="Arial"/>
          <w:sz w:val="24"/>
          <w:szCs w:val="24"/>
        </w:rPr>
        <w:t>PGMR</w:t>
      </w:r>
      <w:r w:rsidR="0065045E" w:rsidRPr="00C90EE8">
        <w:rPr>
          <w:rFonts w:ascii="Calibri" w:hAnsi="Calibri" w:cs="Arial"/>
          <w:sz w:val="24"/>
          <w:szCs w:val="24"/>
        </w:rPr>
        <w:t xml:space="preserve"> projet</w:t>
      </w:r>
      <w:r w:rsidR="00291585">
        <w:rPr>
          <w:rFonts w:ascii="Calibri" w:hAnsi="Calibri" w:cs="Arial"/>
          <w:sz w:val="24"/>
          <w:szCs w:val="24"/>
        </w:rPr>
        <w:t>é</w:t>
      </w:r>
      <w:r w:rsidR="00366933">
        <w:rPr>
          <w:rFonts w:ascii="Calibri" w:hAnsi="Calibri" w:cs="Arial"/>
          <w:sz w:val="24"/>
          <w:szCs w:val="24"/>
        </w:rPr>
        <w:t>, conformément à l’article 53.16 de la LQE</w:t>
      </w:r>
      <w:r w:rsidR="0065045E" w:rsidRPr="00C90EE8">
        <w:rPr>
          <w:rFonts w:ascii="Calibri" w:hAnsi="Calibri" w:cs="Arial"/>
          <w:sz w:val="24"/>
          <w:szCs w:val="24"/>
        </w:rPr>
        <w:t>;</w:t>
      </w:r>
    </w:p>
    <w:p w14:paraId="637CCC2B" w14:textId="77777777" w:rsidR="00234458" w:rsidRPr="00C90EE8" w:rsidRDefault="00234458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 xml:space="preserve">Il est proposé </w:t>
      </w:r>
      <w:r w:rsidR="001012B8">
        <w:rPr>
          <w:rFonts w:ascii="Calibri" w:hAnsi="Calibri" w:cs="Arial"/>
          <w:sz w:val="24"/>
          <w:szCs w:val="24"/>
          <w:highlight w:val="yellow"/>
        </w:rPr>
        <w:t>par</w:t>
      </w:r>
      <w:r w:rsidR="003C6725" w:rsidRPr="00C90EE8">
        <w:rPr>
          <w:rFonts w:ascii="Calibri" w:hAnsi="Calibri" w:cs="Arial"/>
          <w:sz w:val="24"/>
          <w:szCs w:val="24"/>
        </w:rPr>
        <w:t>,</w:t>
      </w:r>
    </w:p>
    <w:p w14:paraId="45B16909" w14:textId="77777777" w:rsidR="00234458" w:rsidRPr="00C90EE8" w:rsidRDefault="00EC03A5">
      <w:pPr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 xml:space="preserve">Appuyé </w:t>
      </w:r>
      <w:r w:rsidR="001012B8">
        <w:rPr>
          <w:rFonts w:ascii="Calibri" w:hAnsi="Calibri" w:cs="Arial"/>
          <w:sz w:val="24"/>
          <w:szCs w:val="24"/>
          <w:highlight w:val="yellow"/>
        </w:rPr>
        <w:t>par</w:t>
      </w:r>
      <w:r w:rsidR="003C6725" w:rsidRPr="00C90EE8">
        <w:rPr>
          <w:rFonts w:ascii="Calibri" w:hAnsi="Calibri" w:cs="Arial"/>
          <w:sz w:val="24"/>
          <w:szCs w:val="24"/>
        </w:rPr>
        <w:t>,</w:t>
      </w:r>
    </w:p>
    <w:p w14:paraId="421748D3" w14:textId="77777777" w:rsidR="00234458" w:rsidRPr="00C90EE8" w:rsidRDefault="00234458">
      <w:pPr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t>Et résolu</w:t>
      </w:r>
      <w:r w:rsidR="003C6725" w:rsidRPr="00C90EE8">
        <w:rPr>
          <w:rFonts w:ascii="Calibri" w:hAnsi="Calibri" w:cs="Arial"/>
          <w:sz w:val="24"/>
          <w:szCs w:val="24"/>
        </w:rPr>
        <w:t> :</w:t>
      </w:r>
    </w:p>
    <w:p w14:paraId="1251963B" w14:textId="2B4D8769" w:rsidR="00234458" w:rsidRPr="00C90EE8" w:rsidRDefault="00234458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C90EE8">
        <w:rPr>
          <w:rFonts w:ascii="Calibri" w:hAnsi="Calibri" w:cs="Arial"/>
          <w:sz w:val="24"/>
          <w:szCs w:val="24"/>
        </w:rPr>
        <w:lastRenderedPageBreak/>
        <w:t xml:space="preserve">Que le projet de </w:t>
      </w:r>
      <w:r w:rsidR="00BD14CA">
        <w:rPr>
          <w:rFonts w:ascii="Calibri" w:hAnsi="Calibri" w:cs="Arial"/>
          <w:sz w:val="24"/>
          <w:szCs w:val="24"/>
        </w:rPr>
        <w:t>plan de gestion des matières résiduelles</w:t>
      </w:r>
      <w:r w:rsidR="00366933">
        <w:rPr>
          <w:rFonts w:ascii="Calibri" w:hAnsi="Calibri" w:cs="Arial"/>
          <w:sz w:val="24"/>
          <w:szCs w:val="24"/>
        </w:rPr>
        <w:t xml:space="preserve"> et le</w:t>
      </w:r>
      <w:r w:rsidR="0065045E" w:rsidRPr="00C90EE8">
        <w:rPr>
          <w:rFonts w:ascii="Calibri" w:hAnsi="Calibri" w:cs="Arial"/>
          <w:sz w:val="24"/>
          <w:szCs w:val="24"/>
        </w:rPr>
        <w:t xml:space="preserve"> rapport de consultation</w:t>
      </w:r>
      <w:r w:rsidR="00366933">
        <w:rPr>
          <w:rFonts w:ascii="Calibri" w:hAnsi="Calibri" w:cs="Arial"/>
          <w:sz w:val="24"/>
          <w:szCs w:val="24"/>
        </w:rPr>
        <w:t xml:space="preserve"> publique</w:t>
      </w:r>
      <w:r w:rsidR="00123772" w:rsidRPr="00C90EE8">
        <w:rPr>
          <w:rFonts w:ascii="Calibri" w:hAnsi="Calibri" w:cs="Arial"/>
          <w:sz w:val="24"/>
          <w:szCs w:val="24"/>
        </w:rPr>
        <w:t xml:space="preserve"> soi</w:t>
      </w:r>
      <w:r w:rsidR="00366933">
        <w:rPr>
          <w:rFonts w:ascii="Calibri" w:hAnsi="Calibri" w:cs="Arial"/>
          <w:sz w:val="24"/>
          <w:szCs w:val="24"/>
        </w:rPr>
        <w:t>en</w:t>
      </w:r>
      <w:r w:rsidR="00123772" w:rsidRPr="00C90EE8">
        <w:rPr>
          <w:rFonts w:ascii="Calibri" w:hAnsi="Calibri" w:cs="Arial"/>
          <w:sz w:val="24"/>
          <w:szCs w:val="24"/>
        </w:rPr>
        <w:t>t transmis</w:t>
      </w:r>
      <w:r w:rsidR="001012B8">
        <w:rPr>
          <w:rFonts w:ascii="Calibri" w:hAnsi="Calibri" w:cs="Arial"/>
          <w:sz w:val="24"/>
          <w:szCs w:val="24"/>
        </w:rPr>
        <w:t xml:space="preserve"> à RECYC-QUÉBEC</w:t>
      </w:r>
      <w:r w:rsidR="00123772" w:rsidRPr="00C90EE8">
        <w:rPr>
          <w:rFonts w:ascii="Calibri" w:hAnsi="Calibri" w:cs="Arial"/>
          <w:sz w:val="24"/>
          <w:szCs w:val="24"/>
        </w:rPr>
        <w:t xml:space="preserve"> </w:t>
      </w:r>
      <w:r w:rsidR="0065045E" w:rsidRPr="00C90EE8">
        <w:rPr>
          <w:rFonts w:ascii="Calibri" w:hAnsi="Calibri" w:cs="Arial"/>
          <w:sz w:val="24"/>
          <w:szCs w:val="24"/>
        </w:rPr>
        <w:t xml:space="preserve">ainsi qu’aux </w:t>
      </w:r>
      <w:r w:rsidR="00291585">
        <w:rPr>
          <w:rFonts w:ascii="Calibri" w:hAnsi="Calibri" w:cs="Arial"/>
          <w:sz w:val="24"/>
          <w:szCs w:val="24"/>
        </w:rPr>
        <w:t>municipalités régionales</w:t>
      </w:r>
      <w:r w:rsidR="0065045E" w:rsidRPr="00C90EE8">
        <w:rPr>
          <w:rFonts w:ascii="Calibri" w:hAnsi="Calibri" w:cs="Arial"/>
          <w:sz w:val="24"/>
          <w:szCs w:val="24"/>
        </w:rPr>
        <w:t xml:space="preserve"> environnantes</w:t>
      </w:r>
      <w:r w:rsidR="00123772" w:rsidRPr="00C90EE8">
        <w:rPr>
          <w:rFonts w:ascii="Calibri" w:hAnsi="Calibri" w:cs="Arial"/>
          <w:sz w:val="24"/>
          <w:szCs w:val="24"/>
        </w:rPr>
        <w:t xml:space="preserve"> ou desservies par une installation d’élimination située sur le territoire d’application du projet de </w:t>
      </w:r>
      <w:r w:rsidR="006D6693">
        <w:rPr>
          <w:rFonts w:ascii="Calibri" w:hAnsi="Calibri" w:cs="Arial"/>
          <w:sz w:val="24"/>
          <w:szCs w:val="24"/>
        </w:rPr>
        <w:t>PGMR</w:t>
      </w:r>
      <w:r w:rsidR="00624218" w:rsidRPr="00C90EE8">
        <w:rPr>
          <w:rFonts w:ascii="Calibri" w:hAnsi="Calibri" w:cs="Arial"/>
          <w:sz w:val="24"/>
          <w:szCs w:val="24"/>
        </w:rPr>
        <w:t>.</w:t>
      </w:r>
    </w:p>
    <w:sectPr w:rsidR="00234458" w:rsidRPr="00C90EE8" w:rsidSect="003C67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4379" w14:textId="77777777" w:rsidR="00E23497" w:rsidRDefault="00E23497" w:rsidP="00234458">
      <w:r>
        <w:separator/>
      </w:r>
    </w:p>
  </w:endnote>
  <w:endnote w:type="continuationSeparator" w:id="0">
    <w:p w14:paraId="4CC88F26" w14:textId="77777777" w:rsidR="00E23497" w:rsidRDefault="00E23497" w:rsidP="0023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8A60F" w14:textId="77777777" w:rsidR="00234458" w:rsidRDefault="002344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3986" w14:textId="77777777" w:rsidR="00234458" w:rsidRDefault="002344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18821" w14:textId="77777777" w:rsidR="00234458" w:rsidRDefault="002344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D0529" w14:textId="77777777" w:rsidR="00E23497" w:rsidRDefault="00E23497" w:rsidP="00234458">
      <w:r>
        <w:separator/>
      </w:r>
    </w:p>
  </w:footnote>
  <w:footnote w:type="continuationSeparator" w:id="0">
    <w:p w14:paraId="632AE248" w14:textId="77777777" w:rsidR="00E23497" w:rsidRDefault="00E23497" w:rsidP="00234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A6545" w14:textId="77777777" w:rsidR="00234458" w:rsidRDefault="002344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FE00" w14:textId="77777777" w:rsidR="00234458" w:rsidRDefault="000E76A9">
    <w:pPr>
      <w:pStyle w:val="En-tte"/>
    </w:pPr>
    <w:r>
      <w:pict w14:anchorId="055189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9259" w14:textId="77777777" w:rsidR="00234458" w:rsidRDefault="002344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937BA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5538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F3E"/>
    <w:rsid w:val="000562EE"/>
    <w:rsid w:val="00070A7B"/>
    <w:rsid w:val="00071BC5"/>
    <w:rsid w:val="00074537"/>
    <w:rsid w:val="000A5F9F"/>
    <w:rsid w:val="000E76A9"/>
    <w:rsid w:val="000E7B67"/>
    <w:rsid w:val="001012B8"/>
    <w:rsid w:val="00123772"/>
    <w:rsid w:val="00140259"/>
    <w:rsid w:val="00143489"/>
    <w:rsid w:val="001F5BD2"/>
    <w:rsid w:val="00207F3E"/>
    <w:rsid w:val="00234458"/>
    <w:rsid w:val="00237A47"/>
    <w:rsid w:val="00273078"/>
    <w:rsid w:val="0027798A"/>
    <w:rsid w:val="00291585"/>
    <w:rsid w:val="002B738D"/>
    <w:rsid w:val="003369EF"/>
    <w:rsid w:val="003417C1"/>
    <w:rsid w:val="00366933"/>
    <w:rsid w:val="003B58A1"/>
    <w:rsid w:val="003B6154"/>
    <w:rsid w:val="003C6725"/>
    <w:rsid w:val="0043433D"/>
    <w:rsid w:val="00472469"/>
    <w:rsid w:val="00496B75"/>
    <w:rsid w:val="004A2196"/>
    <w:rsid w:val="004C1074"/>
    <w:rsid w:val="004D51CC"/>
    <w:rsid w:val="004F0893"/>
    <w:rsid w:val="00533B8B"/>
    <w:rsid w:val="00534379"/>
    <w:rsid w:val="00540A28"/>
    <w:rsid w:val="00542D16"/>
    <w:rsid w:val="005521D9"/>
    <w:rsid w:val="00624218"/>
    <w:rsid w:val="0065045E"/>
    <w:rsid w:val="0067144E"/>
    <w:rsid w:val="006A06F4"/>
    <w:rsid w:val="006B01C2"/>
    <w:rsid w:val="006B4FB6"/>
    <w:rsid w:val="006B560A"/>
    <w:rsid w:val="006D6693"/>
    <w:rsid w:val="006F3E0B"/>
    <w:rsid w:val="00720AA3"/>
    <w:rsid w:val="00772824"/>
    <w:rsid w:val="007757CA"/>
    <w:rsid w:val="007A1759"/>
    <w:rsid w:val="0085513E"/>
    <w:rsid w:val="00865711"/>
    <w:rsid w:val="009B5472"/>
    <w:rsid w:val="00A04CA5"/>
    <w:rsid w:val="00A34562"/>
    <w:rsid w:val="00AA18F0"/>
    <w:rsid w:val="00B22265"/>
    <w:rsid w:val="00B265BC"/>
    <w:rsid w:val="00B377B6"/>
    <w:rsid w:val="00B679A1"/>
    <w:rsid w:val="00BB12C7"/>
    <w:rsid w:val="00BD14CA"/>
    <w:rsid w:val="00BD4EEF"/>
    <w:rsid w:val="00C20EEF"/>
    <w:rsid w:val="00C51A0E"/>
    <w:rsid w:val="00C90EE8"/>
    <w:rsid w:val="00CA04EB"/>
    <w:rsid w:val="00D90EBB"/>
    <w:rsid w:val="00DC60F7"/>
    <w:rsid w:val="00E23497"/>
    <w:rsid w:val="00EC03A5"/>
    <w:rsid w:val="00F772CD"/>
    <w:rsid w:val="00F7762C"/>
    <w:rsid w:val="00FE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4CDDD"/>
  <w15:chartTrackingRefBased/>
  <w15:docId w15:val="{CC69F227-85CF-48DD-B477-EA31C384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rsid w:val="007A1759"/>
    <w:pPr>
      <w:spacing w:after="200" w:line="276" w:lineRule="auto"/>
      <w:outlineLvl w:val="0"/>
    </w:pPr>
    <w:rPr>
      <w:rFonts w:ascii="Arial" w:eastAsia="Calibri" w:hAnsi="Arial" w:cs="Arial"/>
      <w:sz w:val="24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1759"/>
    <w:pPr>
      <w:spacing w:after="200" w:line="276" w:lineRule="auto"/>
      <w:outlineLvl w:val="1"/>
    </w:pPr>
    <w:rPr>
      <w:rFonts w:ascii="Arial" w:eastAsia="Calibri" w:hAnsi="Arial" w:cs="Arial"/>
      <w:b/>
      <w:smallCaps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b/>
      <w:snapToGrid w:val="0"/>
      <w:sz w:val="24"/>
      <w:lang w:val="fr-FR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customStyle="1" w:styleId="Default">
    <w:name w:val="Default"/>
    <w:basedOn w:val="Normal"/>
    <w:rsid w:val="00A04CA5"/>
    <w:pPr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234458"/>
    <w:pPr>
      <w:tabs>
        <w:tab w:val="center" w:pos="4320"/>
        <w:tab w:val="right" w:pos="8640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234458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34458"/>
    <w:pPr>
      <w:tabs>
        <w:tab w:val="center" w:pos="4320"/>
        <w:tab w:val="right" w:pos="8640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34458"/>
    <w:rPr>
      <w:lang w:eastAsia="fr-FR"/>
    </w:rPr>
  </w:style>
  <w:style w:type="character" w:styleId="Marquedecommentaire">
    <w:name w:val="annotation reference"/>
    <w:uiPriority w:val="99"/>
    <w:semiHidden/>
    <w:unhideWhenUsed/>
    <w:rsid w:val="000A5F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5F9F"/>
    <w:rPr>
      <w:lang w:val="x-none"/>
    </w:rPr>
  </w:style>
  <w:style w:type="character" w:customStyle="1" w:styleId="CommentaireCar">
    <w:name w:val="Commentaire Car"/>
    <w:link w:val="Commentaire"/>
    <w:uiPriority w:val="99"/>
    <w:semiHidden/>
    <w:rsid w:val="000A5F9F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5F9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A5F9F"/>
    <w:rPr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F9F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0A5F9F"/>
    <w:rPr>
      <w:rFonts w:ascii="Tahoma" w:hAnsi="Tahoma" w:cs="Tahoma"/>
      <w:sz w:val="16"/>
      <w:szCs w:val="16"/>
      <w:lang w:eastAsia="fr-FR"/>
    </w:rPr>
  </w:style>
  <w:style w:type="character" w:customStyle="1" w:styleId="Titre2Car">
    <w:name w:val="Titre 2 Car"/>
    <w:link w:val="Titre2"/>
    <w:uiPriority w:val="9"/>
    <w:rsid w:val="007A1759"/>
    <w:rPr>
      <w:rFonts w:ascii="Arial" w:eastAsia="Calibri" w:hAnsi="Arial" w:cs="Arial"/>
      <w:b/>
      <w:small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DAF64-4986-4556-9297-0D88A7CE9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Transmission d’un projet de plan de gestion des matières résiduelles modifié à la suite de la consultation publique</vt:lpstr>
    </vt:vector>
  </TitlesOfParts>
  <Company>aomgmr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Transmission d’un projet de plan de gestion des matières résiduelles modifié à la suite de la consultation publique</dc:title>
  <dc:subject/>
  <dc:creator>RECYC-QUÉBEC</dc:creator>
  <cp:keywords/>
  <cp:lastModifiedBy>Kateri Beaulne-Belisle</cp:lastModifiedBy>
  <cp:revision>3</cp:revision>
  <cp:lastPrinted>2004-01-13T18:41:00Z</cp:lastPrinted>
  <dcterms:created xsi:type="dcterms:W3CDTF">2022-05-16T20:09:00Z</dcterms:created>
  <dcterms:modified xsi:type="dcterms:W3CDTF">2022-05-16T20:09:00Z</dcterms:modified>
</cp:coreProperties>
</file>