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CE69F" w14:textId="17F4A955" w:rsidR="00673E69" w:rsidRDefault="00673E69" w:rsidP="00673E69">
      <w:pPr>
        <w:pStyle w:val="Corpsdetexte"/>
        <w:keepNext/>
        <w:keepLines/>
        <w:jc w:val="both"/>
        <w:rPr>
          <w:rFonts w:ascii="Calibri" w:hAnsi="Calibri"/>
          <w:szCs w:val="24"/>
        </w:rPr>
      </w:pPr>
      <w:bookmarkStart w:id="0" w:name="OLE_LINK3"/>
      <w:bookmarkStart w:id="1" w:name="OLE_LINK4"/>
      <w:r>
        <w:rPr>
          <w:rFonts w:ascii="Calibri" w:hAnsi="Calibri"/>
          <w:szCs w:val="24"/>
        </w:rPr>
        <w:t>EXEMPLE DE PROJET DE RÉSOLUTION VISANT À EXCLURE UNE OU PLUSIEURS MUNICIPALITÉS LOCALES DU PLAN DE GESTION DES MATIÈRES RÉSIDUELLES</w:t>
      </w:r>
      <w:r w:rsidRPr="001B6344">
        <w:rPr>
          <w:rFonts w:ascii="Calibri" w:hAnsi="Calibri"/>
          <w:szCs w:val="24"/>
        </w:rPr>
        <w:t xml:space="preserve"> (article 53.</w:t>
      </w:r>
      <w:r>
        <w:rPr>
          <w:rFonts w:ascii="Calibri" w:hAnsi="Calibri"/>
          <w:szCs w:val="24"/>
        </w:rPr>
        <w:t>7</w:t>
      </w:r>
      <w:r w:rsidRPr="001B6344">
        <w:rPr>
          <w:rFonts w:ascii="Calibri" w:hAnsi="Calibri"/>
          <w:szCs w:val="24"/>
        </w:rPr>
        <w:t xml:space="preserve"> LQE)</w:t>
      </w:r>
    </w:p>
    <w:p w14:paraId="0359F49B" w14:textId="2D099455" w:rsidR="00673E69" w:rsidRDefault="00673E69" w:rsidP="00673E69">
      <w:pPr>
        <w:pStyle w:val="Corpsdetexte"/>
        <w:keepNext/>
        <w:keepLines/>
        <w:jc w:val="both"/>
        <w:rPr>
          <w:rFonts w:ascii="Calibri" w:hAnsi="Calibri"/>
          <w:szCs w:val="24"/>
        </w:rPr>
      </w:pPr>
    </w:p>
    <w:tbl>
      <w:tblPr>
        <w:tblpPr w:leftFromText="141" w:rightFromText="141" w:vertAnchor="page" w:horzAnchor="margin" w:tblpY="2506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04"/>
      </w:tblGrid>
      <w:tr w:rsidR="00673E69" w14:paraId="1B8BE810" w14:textId="77777777" w:rsidTr="00FD1BF5">
        <w:trPr>
          <w:trHeight w:val="1334"/>
        </w:trPr>
        <w:tc>
          <w:tcPr>
            <w:tcW w:w="9004" w:type="dxa"/>
            <w:shd w:val="clear" w:color="auto" w:fill="auto"/>
          </w:tcPr>
          <w:p w14:paraId="5DBC4ABC" w14:textId="405DB790" w:rsidR="00673E69" w:rsidRPr="00FD1BF5" w:rsidRDefault="00673E69" w:rsidP="00FD1BF5">
            <w:pPr>
              <w:pStyle w:val="Titre1"/>
              <w:spacing w:before="120" w:after="120"/>
              <w:ind w:right="107"/>
              <w:rPr>
                <w:b w:val="0"/>
                <w:bCs/>
                <w:i/>
                <w:iCs/>
              </w:rPr>
            </w:pPr>
            <w:r w:rsidRPr="00E04A09">
              <w:rPr>
                <w:b w:val="0"/>
                <w:bCs/>
                <w:i/>
                <w:iCs/>
                <w:color w:val="auto"/>
              </w:rPr>
              <w:t xml:space="preserve">Cet exemple de projet de résolution peut être utilisé par la municipalité régionale si une ou plusieurs 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 xml:space="preserve">municipalités locales </w:t>
            </w:r>
            <w:r w:rsidRPr="00E04A09">
              <w:rPr>
                <w:b w:val="0"/>
                <w:bCs/>
                <w:i/>
                <w:iCs/>
                <w:color w:val="auto"/>
              </w:rPr>
              <w:t>souhaite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>(nt)</w:t>
            </w:r>
            <w:r w:rsidRPr="00E04A09">
              <w:rPr>
                <w:b w:val="0"/>
                <w:bCs/>
                <w:i/>
                <w:iCs/>
                <w:color w:val="auto"/>
              </w:rPr>
              <w:t xml:space="preserve"> se prévaloir de la possibilité proposée 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>au 3</w:t>
            </w:r>
            <w:r w:rsidR="00FD1BF5" w:rsidRPr="00E04A09">
              <w:rPr>
                <w:b w:val="0"/>
                <w:bCs/>
                <w:i/>
                <w:iCs/>
                <w:color w:val="auto"/>
                <w:vertAlign w:val="superscript"/>
              </w:rPr>
              <w:t>e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 xml:space="preserve"> alinéa de </w:t>
            </w:r>
            <w:r w:rsidRPr="00E04A09">
              <w:rPr>
                <w:b w:val="0"/>
                <w:bCs/>
                <w:i/>
                <w:iCs/>
                <w:color w:val="auto"/>
              </w:rPr>
              <w:t>l’article 53.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>7</w:t>
            </w:r>
            <w:r w:rsidRPr="00E04A09">
              <w:rPr>
                <w:b w:val="0"/>
                <w:bCs/>
                <w:i/>
                <w:iCs/>
                <w:color w:val="auto"/>
              </w:rPr>
              <w:t xml:space="preserve"> de la LQE et 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>être exclue(s) du</w:t>
            </w:r>
            <w:r w:rsidRPr="00E04A09">
              <w:rPr>
                <w:b w:val="0"/>
                <w:bCs/>
                <w:i/>
                <w:iCs/>
                <w:color w:val="auto"/>
              </w:rPr>
              <w:t xml:space="preserve"> PGMR </w:t>
            </w:r>
            <w:r w:rsidR="00FD1BF5" w:rsidRPr="00E04A09">
              <w:rPr>
                <w:b w:val="0"/>
                <w:bCs/>
                <w:i/>
                <w:iCs/>
                <w:color w:val="auto"/>
              </w:rPr>
              <w:t>pour être couverte(s) par celui d’une autre municipalité régionale, dans la mesure où celle-ci y consent</w:t>
            </w:r>
            <w:r w:rsidRPr="00E04A09">
              <w:rPr>
                <w:b w:val="0"/>
                <w:bCs/>
                <w:i/>
                <w:iCs/>
                <w:color w:val="auto"/>
              </w:rPr>
              <w:t>.</w:t>
            </w:r>
          </w:p>
        </w:tc>
      </w:tr>
    </w:tbl>
    <w:p w14:paraId="6DD97DC0" w14:textId="7C6F153D" w:rsidR="00FD1BF5" w:rsidRDefault="00FD1BF5" w:rsidP="00FD1BF5">
      <w:pPr>
        <w:spacing w:before="480"/>
        <w:jc w:val="both"/>
        <w:rPr>
          <w:rFonts w:eastAsia="Times New Roman"/>
          <w:snapToGrid w:val="0"/>
          <w:sz w:val="24"/>
          <w:szCs w:val="24"/>
          <w:lang w:val="fr-FR" w:eastAsia="fr-FR"/>
        </w:rPr>
      </w:pPr>
    </w:p>
    <w:bookmarkEnd w:id="0"/>
    <w:bookmarkEnd w:id="1"/>
    <w:p w14:paraId="6CD7F1D1" w14:textId="77777777" w:rsidR="00C01DDF" w:rsidRDefault="00C01DDF" w:rsidP="00EB1FED">
      <w:pPr>
        <w:spacing w:before="280" w:line="252" w:lineRule="auto"/>
        <w:ind w:right="-291"/>
        <w:jc w:val="both"/>
      </w:pPr>
      <w:r w:rsidRPr="00DE4F03">
        <w:t xml:space="preserve">Considérant que </w:t>
      </w:r>
      <w:r>
        <w:t>conformément à</w:t>
      </w:r>
      <w:r w:rsidRPr="00DE4F03">
        <w:t xml:space="preserve"> l’article 53.23.1 de la </w:t>
      </w:r>
      <w:r w:rsidRPr="00DE4F03">
        <w:rPr>
          <w:i/>
        </w:rPr>
        <w:t xml:space="preserve">Loi sur la qualité de l’environnement </w:t>
      </w:r>
      <w:r w:rsidRPr="00DE4F03">
        <w:t xml:space="preserve">(LQE), la </w:t>
      </w:r>
      <w:r w:rsidRPr="00DE4F03">
        <w:rPr>
          <w:highlight w:val="yellow"/>
        </w:rPr>
        <w:t>NOM DE LA MUNICIPALITÉ RÉGIONALE</w:t>
      </w:r>
      <w:r w:rsidRPr="00DE4F03">
        <w:t xml:space="preserve"> doit réviser son plan de gestion des matières résiduelles (PGMR);</w:t>
      </w:r>
    </w:p>
    <w:p w14:paraId="4725B706" w14:textId="2EA0E4B7" w:rsidR="0061227C" w:rsidRPr="00C01DDF" w:rsidRDefault="0061227C" w:rsidP="00EB1FED">
      <w:pPr>
        <w:spacing w:before="280" w:line="252" w:lineRule="auto"/>
        <w:ind w:right="-291"/>
        <w:jc w:val="both"/>
      </w:pPr>
      <w:r w:rsidRPr="00C01DDF">
        <w:t>Considérant que l’article</w:t>
      </w:r>
      <w:r w:rsidR="002D6FF1" w:rsidRPr="00C01DDF">
        <w:t> </w:t>
      </w:r>
      <w:r w:rsidRPr="00C01DDF">
        <w:t xml:space="preserve">53.7 de la </w:t>
      </w:r>
      <w:r w:rsidR="005C14E8" w:rsidRPr="00C01DDF">
        <w:t>L</w:t>
      </w:r>
      <w:r w:rsidRPr="00C01DDF">
        <w:t>QE prévoit qu’une municipalité locale peut être exc</w:t>
      </w:r>
      <w:r w:rsidR="00992483" w:rsidRPr="00C01DDF">
        <w:t>lue</w:t>
      </w:r>
      <w:r w:rsidRPr="00C01DDF">
        <w:t xml:space="preserve"> du </w:t>
      </w:r>
      <w:r w:rsidR="00C01DDF">
        <w:t>PGMR</w:t>
      </w:r>
      <w:r w:rsidR="005C14E8" w:rsidRPr="00C01DDF">
        <w:t xml:space="preserve"> de sa municipalité régionale</w:t>
      </w:r>
      <w:r w:rsidRPr="00C01DDF">
        <w:t xml:space="preserve"> pour être couverte par celui d’une autre </w:t>
      </w:r>
      <w:r w:rsidR="00992483" w:rsidRPr="00C01DDF">
        <w:t>municipalité régionale</w:t>
      </w:r>
      <w:r w:rsidRPr="00C01DDF">
        <w:t xml:space="preserve">, </w:t>
      </w:r>
      <w:r w:rsidR="00595B95" w:rsidRPr="00C01DDF">
        <w:t>avec</w:t>
      </w:r>
      <w:r w:rsidR="00A51FB2" w:rsidRPr="00C01DDF">
        <w:t xml:space="preserve"> </w:t>
      </w:r>
      <w:r w:rsidR="00595B95" w:rsidRPr="00C01DDF">
        <w:t xml:space="preserve">le consentement </w:t>
      </w:r>
      <w:r w:rsidR="005C14E8" w:rsidRPr="00C01DDF">
        <w:t xml:space="preserve">de </w:t>
      </w:r>
      <w:r w:rsidR="00C01DDF">
        <w:t>ces</w:t>
      </w:r>
      <w:r w:rsidR="005C14E8" w:rsidRPr="00C01DDF">
        <w:t xml:space="preserve"> municipalité</w:t>
      </w:r>
      <w:r w:rsidR="00C01DDF">
        <w:t>s</w:t>
      </w:r>
      <w:r w:rsidR="005C14E8" w:rsidRPr="00C01DDF">
        <w:t xml:space="preserve"> régionale</w:t>
      </w:r>
      <w:r w:rsidR="00C01DDF">
        <w:t>s</w:t>
      </w:r>
      <w:r w:rsidR="00A51FB2" w:rsidRPr="00C01DDF">
        <w:t>;</w:t>
      </w:r>
    </w:p>
    <w:p w14:paraId="0CEB45D0" w14:textId="2B2429C6" w:rsidR="00992483" w:rsidRPr="00C01DDF" w:rsidRDefault="0061227C" w:rsidP="00EB1FED">
      <w:pPr>
        <w:spacing w:before="280" w:line="252" w:lineRule="auto"/>
        <w:ind w:right="-291"/>
        <w:jc w:val="both"/>
      </w:pPr>
      <w:r w:rsidRPr="00C01DDF">
        <w:t xml:space="preserve">Considérant que </w:t>
      </w:r>
      <w:r w:rsidR="004467CF">
        <w:rPr>
          <w:highlight w:val="yellow"/>
        </w:rPr>
        <w:t>LA</w:t>
      </w:r>
      <w:r w:rsidR="004467CF" w:rsidRPr="004467CF">
        <w:rPr>
          <w:highlight w:val="yellow"/>
        </w:rPr>
        <w:t>/</w:t>
      </w:r>
      <w:r w:rsidR="004467CF">
        <w:rPr>
          <w:highlight w:val="yellow"/>
        </w:rPr>
        <w:t>LES</w:t>
      </w:r>
      <w:r w:rsidR="004467CF" w:rsidRPr="004467CF">
        <w:rPr>
          <w:highlight w:val="yellow"/>
        </w:rPr>
        <w:t xml:space="preserve"> NOM(S) DE LA OU DES MUNICIPALITÉ(S) LOCALE(S)</w:t>
      </w:r>
      <w:r w:rsidR="00F1093D" w:rsidRPr="00C01DDF">
        <w:t xml:space="preserve"> </w:t>
      </w:r>
      <w:r w:rsidR="00E913A4" w:rsidRPr="00C01DDF">
        <w:t>désire</w:t>
      </w:r>
      <w:r w:rsidR="00E913A4" w:rsidRPr="004467CF">
        <w:rPr>
          <w:highlight w:val="yellow"/>
        </w:rPr>
        <w:t>nt</w:t>
      </w:r>
      <w:r w:rsidR="00E913A4" w:rsidRPr="00C01DDF">
        <w:t xml:space="preserve"> être exclu</w:t>
      </w:r>
      <w:r w:rsidR="00E913A4" w:rsidRPr="004467CF">
        <w:rPr>
          <w:highlight w:val="yellow"/>
        </w:rPr>
        <w:t>es</w:t>
      </w:r>
      <w:r w:rsidR="005C14E8" w:rsidRPr="00C01DDF">
        <w:t xml:space="preserve"> du PGMR de la </w:t>
      </w:r>
      <w:r w:rsidR="004467CF" w:rsidRPr="00DE4F03">
        <w:rPr>
          <w:highlight w:val="yellow"/>
        </w:rPr>
        <w:t>NOM DE LA MUNICIPALITÉ RÉGIONALE</w:t>
      </w:r>
      <w:r w:rsidR="004467CF" w:rsidRPr="00DE4F03">
        <w:t xml:space="preserve"> </w:t>
      </w:r>
      <w:r w:rsidR="005C14E8" w:rsidRPr="00C01DDF">
        <w:t>et être couvert</w:t>
      </w:r>
      <w:r w:rsidR="005C14E8" w:rsidRPr="004467CF">
        <w:rPr>
          <w:highlight w:val="yellow"/>
        </w:rPr>
        <w:t>e</w:t>
      </w:r>
      <w:r w:rsidR="002D6FF1" w:rsidRPr="004467CF">
        <w:rPr>
          <w:highlight w:val="yellow"/>
        </w:rPr>
        <w:t>s</w:t>
      </w:r>
      <w:r w:rsidR="005C14E8" w:rsidRPr="00C01DDF">
        <w:t xml:space="preserve"> par le PGMR de la </w:t>
      </w:r>
      <w:r w:rsidR="004467CF" w:rsidRPr="00DE4F03">
        <w:rPr>
          <w:highlight w:val="yellow"/>
        </w:rPr>
        <w:t>NOM DE L</w:t>
      </w:r>
      <w:r w:rsidR="004467CF">
        <w:rPr>
          <w:highlight w:val="yellow"/>
        </w:rPr>
        <w:t>’AUTRE</w:t>
      </w:r>
      <w:r w:rsidR="004467CF" w:rsidRPr="00DE4F03">
        <w:rPr>
          <w:highlight w:val="yellow"/>
        </w:rPr>
        <w:t xml:space="preserve"> MUNICIPALITÉ RÉGIONALE</w:t>
      </w:r>
      <w:r w:rsidR="00992483" w:rsidRPr="00C01DDF">
        <w:t>;</w:t>
      </w:r>
    </w:p>
    <w:p w14:paraId="38E1EDDE" w14:textId="30B2E998" w:rsidR="00D538DA" w:rsidRPr="00C01DDF" w:rsidRDefault="00D538DA" w:rsidP="00EB1FED">
      <w:pPr>
        <w:spacing w:before="280" w:line="252" w:lineRule="auto"/>
        <w:ind w:right="-291"/>
        <w:jc w:val="both"/>
        <w:rPr>
          <w:i/>
        </w:rPr>
      </w:pPr>
      <w:bookmarkStart w:id="2" w:name="_Hlk102559801"/>
      <w:r w:rsidRPr="004467CF">
        <w:rPr>
          <w:i/>
          <w:highlight w:val="yellow"/>
        </w:rPr>
        <w:t xml:space="preserve">(S’il y a lieu) </w:t>
      </w:r>
      <w:r w:rsidR="000B7576" w:rsidRPr="004467CF">
        <w:rPr>
          <w:i/>
          <w:highlight w:val="yellow"/>
        </w:rPr>
        <w:t xml:space="preserve">Considérant que la </w:t>
      </w:r>
      <w:r w:rsidR="00E04A09">
        <w:rPr>
          <w:i/>
          <w:highlight w:val="yellow"/>
        </w:rPr>
        <w:t>NOM DE LA MUNICIPALITÉ RÉGIONALE « HÔTE »</w:t>
      </w:r>
      <w:r w:rsidR="000B7576" w:rsidRPr="004467CF">
        <w:rPr>
          <w:i/>
          <w:highlight w:val="yellow"/>
        </w:rPr>
        <w:t>, par sa résolution n</w:t>
      </w:r>
      <w:r w:rsidR="000B7576" w:rsidRPr="004467CF">
        <w:rPr>
          <w:i/>
          <w:highlight w:val="yellow"/>
          <w:vertAlign w:val="superscript"/>
        </w:rPr>
        <w:t>o</w:t>
      </w:r>
      <w:r w:rsidR="000B7576" w:rsidRPr="004467CF">
        <w:rPr>
          <w:i/>
          <w:highlight w:val="yellow"/>
        </w:rPr>
        <w:t xml:space="preserve"> </w:t>
      </w:r>
      <w:r w:rsidR="004467CF" w:rsidRPr="004467CF">
        <w:rPr>
          <w:i/>
          <w:highlight w:val="yellow"/>
        </w:rPr>
        <w:t>NUMÉRO</w:t>
      </w:r>
      <w:r w:rsidR="002D6FF1" w:rsidRPr="004467CF">
        <w:rPr>
          <w:i/>
          <w:highlight w:val="yellow"/>
        </w:rPr>
        <w:t>,</w:t>
      </w:r>
      <w:r w:rsidR="000B7576" w:rsidRPr="004467CF">
        <w:rPr>
          <w:i/>
          <w:highlight w:val="yellow"/>
        </w:rPr>
        <w:t xml:space="preserve"> </w:t>
      </w:r>
      <w:r w:rsidRPr="004467CF">
        <w:rPr>
          <w:i/>
          <w:highlight w:val="yellow"/>
        </w:rPr>
        <w:t>a accepté d’inclure ce</w:t>
      </w:r>
      <w:r w:rsidR="00E04A09">
        <w:rPr>
          <w:i/>
          <w:highlight w:val="yellow"/>
        </w:rPr>
        <w:t>tte/ce</w:t>
      </w:r>
      <w:r w:rsidRPr="004467CF">
        <w:rPr>
          <w:i/>
          <w:highlight w:val="yellow"/>
        </w:rPr>
        <w:t>s municipalité</w:t>
      </w:r>
      <w:r w:rsidR="00E04A09">
        <w:rPr>
          <w:i/>
          <w:highlight w:val="yellow"/>
        </w:rPr>
        <w:t>(s)</w:t>
      </w:r>
      <w:r w:rsidR="004467CF" w:rsidRPr="004467CF">
        <w:rPr>
          <w:i/>
          <w:highlight w:val="yellow"/>
        </w:rPr>
        <w:t xml:space="preserve"> locale</w:t>
      </w:r>
      <w:r w:rsidR="00E04A09">
        <w:rPr>
          <w:i/>
          <w:highlight w:val="yellow"/>
        </w:rPr>
        <w:t>(s)</w:t>
      </w:r>
      <w:r w:rsidR="004467CF" w:rsidRPr="004467CF">
        <w:rPr>
          <w:i/>
          <w:highlight w:val="yellow"/>
        </w:rPr>
        <w:t xml:space="preserve"> à son PGMR</w:t>
      </w:r>
      <w:r w:rsidRPr="00C01DDF">
        <w:rPr>
          <w:i/>
        </w:rPr>
        <w:t>;</w:t>
      </w:r>
    </w:p>
    <w:bookmarkEnd w:id="2"/>
    <w:p w14:paraId="4E6F250E" w14:textId="77777777" w:rsidR="00992483" w:rsidRPr="00C01DDF" w:rsidRDefault="00992483" w:rsidP="00EB1FED">
      <w:pPr>
        <w:spacing w:before="280"/>
        <w:ind w:right="-291"/>
        <w:jc w:val="both"/>
      </w:pPr>
      <w:r w:rsidRPr="00C01DDF">
        <w:t>En conséquence,</w:t>
      </w:r>
    </w:p>
    <w:p w14:paraId="59B89503" w14:textId="77777777" w:rsidR="004467CF" w:rsidRDefault="004467CF" w:rsidP="000B7576">
      <w:pPr>
        <w:ind w:right="-291"/>
        <w:jc w:val="both"/>
      </w:pPr>
    </w:p>
    <w:p w14:paraId="18ED67E6" w14:textId="7944D95B" w:rsidR="0061227C" w:rsidRPr="00C01DDF" w:rsidRDefault="0061227C" w:rsidP="000B7576">
      <w:pPr>
        <w:ind w:right="-291"/>
        <w:jc w:val="both"/>
      </w:pPr>
      <w:r w:rsidRPr="00C01DDF">
        <w:t xml:space="preserve">Il est proposé </w:t>
      </w:r>
      <w:r w:rsidRPr="004467CF">
        <w:rPr>
          <w:highlight w:val="yellow"/>
        </w:rPr>
        <w:t>par</w:t>
      </w:r>
      <w:r w:rsidRPr="00C01DDF">
        <w:t xml:space="preserve"> </w:t>
      </w:r>
      <w:proofErr w:type="gramStart"/>
      <w:r w:rsidR="004467CF">
        <w:t xml:space="preserve">  ,</w:t>
      </w:r>
      <w:proofErr w:type="gramEnd"/>
    </w:p>
    <w:p w14:paraId="66B7A5EA" w14:textId="624C12BE" w:rsidR="0061227C" w:rsidRPr="00C01DDF" w:rsidRDefault="00FA2708" w:rsidP="000B7576">
      <w:pPr>
        <w:spacing w:before="17"/>
        <w:ind w:right="-291"/>
        <w:jc w:val="both"/>
      </w:pPr>
      <w:r w:rsidRPr="00C01DDF">
        <w:t>A</w:t>
      </w:r>
      <w:r w:rsidR="005C14E8" w:rsidRPr="00C01DDF">
        <w:t>ppuyé</w:t>
      </w:r>
      <w:r w:rsidR="0061227C" w:rsidRPr="00C01DDF">
        <w:t xml:space="preserve"> </w:t>
      </w:r>
      <w:proofErr w:type="gramStart"/>
      <w:r w:rsidR="0061227C" w:rsidRPr="004467CF">
        <w:rPr>
          <w:highlight w:val="yellow"/>
        </w:rPr>
        <w:t>par</w:t>
      </w:r>
      <w:r w:rsidR="004467CF">
        <w:t xml:space="preserve">  ,</w:t>
      </w:r>
      <w:proofErr w:type="gramEnd"/>
    </w:p>
    <w:p w14:paraId="2E64E72A" w14:textId="77777777" w:rsidR="00992483" w:rsidRPr="00C01DDF" w:rsidRDefault="00992483" w:rsidP="000B7576">
      <w:pPr>
        <w:spacing w:before="17"/>
        <w:ind w:right="-291"/>
        <w:jc w:val="both"/>
      </w:pPr>
      <w:r w:rsidRPr="00C01DDF">
        <w:t>Et résolu</w:t>
      </w:r>
    </w:p>
    <w:p w14:paraId="7004F1F9" w14:textId="5017E8C7" w:rsidR="00752860" w:rsidRPr="00C01DDF" w:rsidRDefault="00992483" w:rsidP="00EB1FED">
      <w:pPr>
        <w:spacing w:before="280"/>
        <w:ind w:right="-291"/>
        <w:jc w:val="both"/>
      </w:pPr>
      <w:r w:rsidRPr="00C01DDF">
        <w:t xml:space="preserve">Que </w:t>
      </w:r>
      <w:r w:rsidR="00A51FB2" w:rsidRPr="00C01DDF">
        <w:t xml:space="preserve">la </w:t>
      </w:r>
      <w:r w:rsidR="004467CF" w:rsidRPr="00DE4F03">
        <w:rPr>
          <w:highlight w:val="yellow"/>
        </w:rPr>
        <w:t>NOM DE LA MUNICIPALITÉ RÉGIONALE</w:t>
      </w:r>
      <w:r w:rsidR="00F1093D" w:rsidRPr="00C01DDF">
        <w:t xml:space="preserve"> </w:t>
      </w:r>
      <w:r w:rsidRPr="00C01DDF">
        <w:t xml:space="preserve">accepte que </w:t>
      </w:r>
      <w:r w:rsidR="004467CF">
        <w:rPr>
          <w:highlight w:val="yellow"/>
        </w:rPr>
        <w:t>LA</w:t>
      </w:r>
      <w:r w:rsidR="004467CF" w:rsidRPr="004467CF">
        <w:rPr>
          <w:highlight w:val="yellow"/>
        </w:rPr>
        <w:t>/</w:t>
      </w:r>
      <w:r w:rsidR="004467CF">
        <w:rPr>
          <w:highlight w:val="yellow"/>
        </w:rPr>
        <w:t>LES</w:t>
      </w:r>
      <w:r w:rsidR="004467CF" w:rsidRPr="004467CF">
        <w:rPr>
          <w:highlight w:val="yellow"/>
        </w:rPr>
        <w:t xml:space="preserve"> NOM(S) DE LA OU DES MUNICIPALITÉ(S) LOCALE(S)</w:t>
      </w:r>
      <w:r w:rsidR="004467CF" w:rsidRPr="00C01DDF">
        <w:t xml:space="preserve"> </w:t>
      </w:r>
      <w:r w:rsidR="005C14E8" w:rsidRPr="00C01DDF">
        <w:t>soie</w:t>
      </w:r>
      <w:r w:rsidR="005C14E8" w:rsidRPr="004467CF">
        <w:rPr>
          <w:highlight w:val="yellow"/>
        </w:rPr>
        <w:t>nt</w:t>
      </w:r>
      <w:r w:rsidR="005C14E8" w:rsidRPr="00C01DDF">
        <w:t xml:space="preserve"> exclu</w:t>
      </w:r>
      <w:r w:rsidR="005C14E8" w:rsidRPr="004467CF">
        <w:rPr>
          <w:highlight w:val="yellow"/>
        </w:rPr>
        <w:t>e</w:t>
      </w:r>
      <w:r w:rsidR="002D6FF1" w:rsidRPr="004467CF">
        <w:rPr>
          <w:highlight w:val="yellow"/>
        </w:rPr>
        <w:t>s</w:t>
      </w:r>
      <w:r w:rsidR="005C14E8" w:rsidRPr="00C01DDF">
        <w:t xml:space="preserve"> </w:t>
      </w:r>
      <w:r w:rsidRPr="00C01DDF">
        <w:t xml:space="preserve">de son </w:t>
      </w:r>
      <w:r w:rsidR="005C14E8" w:rsidRPr="00C01DDF">
        <w:t>PGMR pour être couvert</w:t>
      </w:r>
      <w:r w:rsidR="005C14E8" w:rsidRPr="004467CF">
        <w:rPr>
          <w:highlight w:val="yellow"/>
        </w:rPr>
        <w:t>e</w:t>
      </w:r>
      <w:r w:rsidR="002D6FF1" w:rsidRPr="004467CF">
        <w:rPr>
          <w:highlight w:val="yellow"/>
        </w:rPr>
        <w:t>s</w:t>
      </w:r>
      <w:r w:rsidR="005C14E8" w:rsidRPr="00C01DDF">
        <w:t xml:space="preserve"> par </w:t>
      </w:r>
      <w:r w:rsidR="004467CF">
        <w:t xml:space="preserve">celui de </w:t>
      </w:r>
      <w:r w:rsidR="005C14E8" w:rsidRPr="00C01DDF">
        <w:t xml:space="preserve">la </w:t>
      </w:r>
      <w:r w:rsidR="004467CF" w:rsidRPr="00DE4F03">
        <w:rPr>
          <w:highlight w:val="yellow"/>
        </w:rPr>
        <w:t>NOM DE L</w:t>
      </w:r>
      <w:r w:rsidR="004467CF">
        <w:rPr>
          <w:highlight w:val="yellow"/>
        </w:rPr>
        <w:t>’</w:t>
      </w:r>
      <w:r w:rsidR="004467CF" w:rsidRPr="00DE4F03">
        <w:rPr>
          <w:highlight w:val="yellow"/>
        </w:rPr>
        <w:t>A</w:t>
      </w:r>
      <w:r w:rsidR="004467CF">
        <w:rPr>
          <w:highlight w:val="yellow"/>
        </w:rPr>
        <w:t>UTRE</w:t>
      </w:r>
      <w:r w:rsidR="004467CF" w:rsidRPr="00DE4F03">
        <w:rPr>
          <w:highlight w:val="yellow"/>
        </w:rPr>
        <w:t xml:space="preserve"> MUNICIPALITÉ RÉGIONALE</w:t>
      </w:r>
      <w:r w:rsidR="005C14E8" w:rsidRPr="00C01DDF">
        <w:t>.</w:t>
      </w:r>
    </w:p>
    <w:sectPr w:rsidR="00752860" w:rsidRPr="00C01DDF" w:rsidSect="000B75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27C2" w14:textId="77777777" w:rsidR="002B4AF7" w:rsidRDefault="002B4AF7" w:rsidP="00E55D1F">
      <w:r>
        <w:separator/>
      </w:r>
    </w:p>
  </w:endnote>
  <w:endnote w:type="continuationSeparator" w:id="0">
    <w:p w14:paraId="4934AB5E" w14:textId="77777777" w:rsidR="002B4AF7" w:rsidRDefault="002B4AF7" w:rsidP="00E5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ABF3" w14:textId="77777777" w:rsidR="00E55D1F" w:rsidRDefault="00E55D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46B8" w14:textId="77777777" w:rsidR="00E55D1F" w:rsidRDefault="00E55D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CA2F" w14:textId="77777777" w:rsidR="00E55D1F" w:rsidRDefault="00E55D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D4BF" w14:textId="77777777" w:rsidR="002B4AF7" w:rsidRDefault="002B4AF7" w:rsidP="00E55D1F">
      <w:r>
        <w:separator/>
      </w:r>
    </w:p>
  </w:footnote>
  <w:footnote w:type="continuationSeparator" w:id="0">
    <w:p w14:paraId="3D9F2294" w14:textId="77777777" w:rsidR="002B4AF7" w:rsidRDefault="002B4AF7" w:rsidP="00E55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F1C4" w14:textId="77777777" w:rsidR="00E55D1F" w:rsidRDefault="00E55D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406D" w14:textId="77777777" w:rsidR="00E55D1F" w:rsidRDefault="006F57D7">
    <w:pPr>
      <w:pStyle w:val="En-tte"/>
    </w:pPr>
    <w:r>
      <w:pict w14:anchorId="6069B5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4ADE" w14:textId="77777777" w:rsidR="00E55D1F" w:rsidRDefault="00E55D1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27C"/>
    <w:rsid w:val="00070B5F"/>
    <w:rsid w:val="000B7576"/>
    <w:rsid w:val="001E3472"/>
    <w:rsid w:val="002A237C"/>
    <w:rsid w:val="002B4AF7"/>
    <w:rsid w:val="002D6FF1"/>
    <w:rsid w:val="002E4D34"/>
    <w:rsid w:val="003A19D0"/>
    <w:rsid w:val="003F4857"/>
    <w:rsid w:val="004467CF"/>
    <w:rsid w:val="00450C63"/>
    <w:rsid w:val="00476C22"/>
    <w:rsid w:val="005140C0"/>
    <w:rsid w:val="00595B95"/>
    <w:rsid w:val="005C14E8"/>
    <w:rsid w:val="0061227C"/>
    <w:rsid w:val="00673E69"/>
    <w:rsid w:val="006F57D7"/>
    <w:rsid w:val="00704067"/>
    <w:rsid w:val="00752860"/>
    <w:rsid w:val="00916953"/>
    <w:rsid w:val="00992483"/>
    <w:rsid w:val="009B7117"/>
    <w:rsid w:val="00A11075"/>
    <w:rsid w:val="00A51FB2"/>
    <w:rsid w:val="00C01DDF"/>
    <w:rsid w:val="00D538DA"/>
    <w:rsid w:val="00E04A09"/>
    <w:rsid w:val="00E55D1F"/>
    <w:rsid w:val="00E913A4"/>
    <w:rsid w:val="00EB1FED"/>
    <w:rsid w:val="00F1093D"/>
    <w:rsid w:val="00F168AD"/>
    <w:rsid w:val="00F73E0D"/>
    <w:rsid w:val="00FA2708"/>
    <w:rsid w:val="00FD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8532B97"/>
  <w15:chartTrackingRefBased/>
  <w15:docId w15:val="{7B693A03-1FB5-4D92-810A-65372F8F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27C"/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EB1FED"/>
    <w:pPr>
      <w:ind w:right="-291"/>
      <w:jc w:val="both"/>
      <w:outlineLvl w:val="0"/>
    </w:pPr>
    <w:rPr>
      <w:b/>
      <w:color w:val="4A452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1FED"/>
    <w:pPr>
      <w:ind w:right="-291"/>
      <w:jc w:val="both"/>
      <w:outlineLvl w:val="1"/>
    </w:pPr>
    <w:rPr>
      <w:b/>
      <w:color w:val="4A452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5D1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E55D1F"/>
    <w:rPr>
      <w:rFonts w:ascii="Calibri" w:hAnsi="Calibri" w:cs="Times New Roman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E55D1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E55D1F"/>
    <w:rPr>
      <w:rFonts w:ascii="Calibri" w:hAnsi="Calibri" w:cs="Times New Roman"/>
      <w:lang w:eastAsia="fr-CA"/>
    </w:rPr>
  </w:style>
  <w:style w:type="character" w:styleId="Marquedecommentaire">
    <w:name w:val="annotation reference"/>
    <w:uiPriority w:val="99"/>
    <w:semiHidden/>
    <w:unhideWhenUsed/>
    <w:rsid w:val="002D6F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6FF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D6FF1"/>
    <w:rPr>
      <w:rFonts w:ascii="Calibri" w:hAnsi="Calibri" w:cs="Times New Roman"/>
      <w:sz w:val="20"/>
      <w:szCs w:val="20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6FF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D6FF1"/>
    <w:rPr>
      <w:rFonts w:ascii="Calibri" w:hAnsi="Calibri" w:cs="Times New Roman"/>
      <w:b/>
      <w:bCs/>
      <w:sz w:val="20"/>
      <w:szCs w:val="20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6F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D6FF1"/>
    <w:rPr>
      <w:rFonts w:ascii="Tahoma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uiPriority w:val="9"/>
    <w:rsid w:val="00EB1FED"/>
    <w:rPr>
      <w:b/>
      <w:color w:val="4A452A"/>
      <w:sz w:val="22"/>
      <w:szCs w:val="22"/>
    </w:rPr>
  </w:style>
  <w:style w:type="character" w:customStyle="1" w:styleId="Titre2Car">
    <w:name w:val="Titre 2 Car"/>
    <w:link w:val="Titre2"/>
    <w:uiPriority w:val="9"/>
    <w:rsid w:val="00EB1FED"/>
    <w:rPr>
      <w:b/>
      <w:color w:val="4A452A"/>
      <w:sz w:val="22"/>
      <w:szCs w:val="22"/>
    </w:rPr>
  </w:style>
  <w:style w:type="paragraph" w:styleId="Corpsdetexte">
    <w:name w:val="Body Text"/>
    <w:basedOn w:val="Normal"/>
    <w:link w:val="CorpsdetexteCar"/>
    <w:semiHidden/>
    <w:rsid w:val="00673E69"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rFonts w:ascii="Times New Roman" w:eastAsia="Times New Roman" w:hAnsi="Times New Roman"/>
      <w:b/>
      <w:snapToGrid w:val="0"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73E69"/>
    <w:rPr>
      <w:rFonts w:ascii="Times New Roman" w:eastAsia="Times New Roman" w:hAnsi="Times New Roman"/>
      <w:b/>
      <w:snapToGrid w:val="0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2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MRC A</vt:lpstr>
    </vt:vector>
  </TitlesOfParts>
  <Company>RECYC-QUEBEC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MRC A</dc:title>
  <dc:subject/>
  <dc:creator>RECYC-QUÉBEC</dc:creator>
  <cp:keywords/>
  <cp:lastModifiedBy>Kateri Beaulne-Belisle</cp:lastModifiedBy>
  <cp:revision>3</cp:revision>
  <dcterms:created xsi:type="dcterms:W3CDTF">2022-05-16T19:08:00Z</dcterms:created>
  <dcterms:modified xsi:type="dcterms:W3CDTF">2022-05-16T19:08:00Z</dcterms:modified>
</cp:coreProperties>
</file>