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136081"/>
    <w:p w14:paraId="53B18B53" w14:textId="77777777" w:rsidR="0085715B" w:rsidRPr="00696029" w:rsidRDefault="0085715B" w:rsidP="0085715B">
      <w:r w:rsidRPr="00696029">
        <w:rPr>
          <w:b/>
          <w:noProof/>
          <w:spacing w:val="-24"/>
          <w:sz w:val="40"/>
          <w:szCs w:val="40"/>
        </w:rPr>
        <mc:AlternateContent>
          <mc:Choice Requires="wps">
            <w:drawing>
              <wp:anchor distT="0" distB="0" distL="114300" distR="114300" simplePos="0" relativeHeight="251659264" behindDoc="1" locked="0" layoutInCell="1" allowOverlap="1" wp14:anchorId="46912E0D" wp14:editId="4AA092E5">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F2CC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B6A6D" id="Rectangle 15" o:spid="_x0000_s1026" style="position:absolute;margin-left:-9.25pt;margin-top:-122.3pt;width:629.35pt;height:75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" fillcolor="#f2cc26" stroked="f" strokeweight="2pt">
                <w10:wrap anchorx="page"/>
              </v:rect>
            </w:pict>
          </mc:Fallback>
        </mc:AlternateContent>
      </w:r>
    </w:p>
    <w:p w14:paraId="5D3AD521" w14:textId="77777777" w:rsidR="0085715B" w:rsidRPr="00696029" w:rsidRDefault="0085715B" w:rsidP="0085715B">
      <w:pPr>
        <w:rPr>
          <w:sz w:val="72"/>
          <w:szCs w:val="72"/>
        </w:rPr>
      </w:pPr>
    </w:p>
    <w:p w14:paraId="350F34FF" w14:textId="5CF44328" w:rsidR="0085715B" w:rsidRPr="00696029" w:rsidRDefault="0085715B" w:rsidP="0085715B">
      <w:pPr>
        <w:pStyle w:val="tape-Titre"/>
        <w:rPr>
          <w:color w:val="auto"/>
        </w:rPr>
      </w:pPr>
      <w:r w:rsidRPr="00696029">
        <w:rPr>
          <w:b w:val="0"/>
          <w:noProof/>
          <w:color w:val="auto"/>
        </w:rPr>
        <w:drawing>
          <wp:anchor distT="0" distB="0" distL="114300" distR="114300" simplePos="0" relativeHeight="251660288" behindDoc="0" locked="0" layoutInCell="1" allowOverlap="1" wp14:anchorId="0D3043CB" wp14:editId="6985FF60">
            <wp:simplePos x="0" y="0"/>
            <wp:positionH relativeFrom="column">
              <wp:posOffset>3042285</wp:posOffset>
            </wp:positionH>
            <wp:positionV relativeFrom="paragraph">
              <wp:posOffset>5715</wp:posOffset>
            </wp:positionV>
            <wp:extent cx="612894" cy="500400"/>
            <wp:effectExtent l="0" t="0" r="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894" cy="500400"/>
                    </a:xfrm>
                    <a:prstGeom prst="rect">
                      <a:avLst/>
                    </a:prstGeom>
                  </pic:spPr>
                </pic:pic>
              </a:graphicData>
            </a:graphic>
            <wp14:sizeRelH relativeFrom="margin">
              <wp14:pctWidth>0</wp14:pctWidth>
            </wp14:sizeRelH>
            <wp14:sizeRelV relativeFrom="margin">
              <wp14:pctHeight>0</wp14:pctHeight>
            </wp14:sizeRelV>
          </wp:anchor>
        </w:drawing>
      </w:r>
      <w:r w:rsidRPr="00696029">
        <w:rPr>
          <w:color w:val="auto"/>
        </w:rPr>
        <w:t xml:space="preserve">Étape </w:t>
      </w:r>
      <w:r>
        <w:rPr>
          <w:color w:val="auto"/>
        </w:rPr>
        <w:t>3</w:t>
      </w:r>
      <w:r w:rsidRPr="00696029">
        <w:rPr>
          <w:color w:val="auto"/>
        </w:rPr>
        <w:t xml:space="preserve"> – </w:t>
      </w:r>
      <w:r w:rsidR="005547EA">
        <w:rPr>
          <w:color w:val="auto"/>
        </w:rPr>
        <w:t>Vision et objectifs</w:t>
      </w:r>
    </w:p>
    <w:p w14:paraId="2370E498" w14:textId="25BDB650" w:rsidR="0085715B" w:rsidRDefault="0085715B" w:rsidP="0085715B">
      <w:pPr>
        <w:pStyle w:val="Titrecouverture"/>
        <w:rPr>
          <w:color w:val="auto"/>
        </w:rPr>
      </w:pPr>
      <w:r w:rsidRPr="00696029">
        <w:rPr>
          <w:color w:val="auto"/>
        </w:rPr>
        <w:t>Outil </w:t>
      </w:r>
      <w:r>
        <w:rPr>
          <w:color w:val="auto"/>
        </w:rPr>
        <w:t>3</w:t>
      </w:r>
      <w:r w:rsidRPr="00696029">
        <w:rPr>
          <w:color w:val="auto"/>
        </w:rPr>
        <w:t>.</w:t>
      </w:r>
      <w:r>
        <w:rPr>
          <w:color w:val="auto"/>
        </w:rPr>
        <w:t>2</w:t>
      </w:r>
      <w:r w:rsidRPr="00696029">
        <w:rPr>
          <w:color w:val="auto"/>
        </w:rPr>
        <w:t xml:space="preserve"> – </w:t>
      </w:r>
      <w:r>
        <w:rPr>
          <w:color w:val="auto"/>
        </w:rPr>
        <w:t>Création</w:t>
      </w:r>
      <w:r>
        <w:rPr>
          <w:color w:val="auto"/>
        </w:rPr>
        <w:br/>
        <w:t>des Sous-comités techniques</w:t>
      </w:r>
    </w:p>
    <w:p w14:paraId="7A07E0AB" w14:textId="77777777" w:rsidR="0085715B" w:rsidRPr="00696029" w:rsidRDefault="0085715B" w:rsidP="0085715B">
      <w:pPr>
        <w:pStyle w:val="Titrecouverture"/>
        <w:rPr>
          <w:color w:val="auto"/>
        </w:rPr>
      </w:pPr>
    </w:p>
    <w:p w14:paraId="04B8E1D9" w14:textId="222CDC09" w:rsidR="0085715B" w:rsidRPr="0085715B" w:rsidRDefault="0085715B" w:rsidP="0085715B">
      <w:pPr>
        <w:pStyle w:val="Activitetsous-activit-Titre"/>
        <w:rPr>
          <w:b w:val="0"/>
          <w:color w:val="auto"/>
          <w:spacing w:val="-24"/>
        </w:rPr>
      </w:pPr>
      <w:r w:rsidRPr="00696029">
        <w:rPr>
          <w:color w:val="auto"/>
        </w:rPr>
        <w:t>Activité </w:t>
      </w:r>
      <w:r>
        <w:rPr>
          <w:color w:val="auto"/>
        </w:rPr>
        <w:t>3</w:t>
      </w:r>
      <w:r w:rsidRPr="00696029">
        <w:rPr>
          <w:color w:val="auto"/>
        </w:rPr>
        <w:t>.</w:t>
      </w:r>
      <w:r>
        <w:rPr>
          <w:color w:val="auto"/>
        </w:rPr>
        <w:t>2</w:t>
      </w:r>
      <w:r w:rsidRPr="00696029">
        <w:rPr>
          <w:color w:val="auto"/>
        </w:rPr>
        <w:t xml:space="preserve"> – </w:t>
      </w:r>
      <w:r>
        <w:rPr>
          <w:color w:val="auto"/>
        </w:rPr>
        <w:t>Créer et animer des Sous-comités techniques</w:t>
      </w:r>
    </w:p>
    <w:p w14:paraId="43BCE6FF" w14:textId="77777777" w:rsidR="0085715B" w:rsidRPr="00696029" w:rsidRDefault="0085715B" w:rsidP="0085715B">
      <w:pPr>
        <w:spacing w:before="276" w:line="192" w:lineRule="auto"/>
        <w:ind w:right="10" w:hanging="3"/>
        <w:jc w:val="center"/>
        <w:rPr>
          <w:b/>
          <w:spacing w:val="-24"/>
          <w:sz w:val="40"/>
          <w:szCs w:val="40"/>
        </w:rPr>
      </w:pPr>
    </w:p>
    <w:p w14:paraId="40F6A213" w14:textId="77777777" w:rsidR="0085715B" w:rsidRPr="00696029" w:rsidRDefault="0085715B" w:rsidP="0085715B">
      <w:pPr>
        <w:spacing w:before="276" w:line="192" w:lineRule="auto"/>
        <w:ind w:right="10" w:hanging="3"/>
        <w:jc w:val="center"/>
        <w:rPr>
          <w:b/>
          <w:spacing w:val="-24"/>
          <w:sz w:val="40"/>
          <w:szCs w:val="40"/>
        </w:rPr>
        <w:sectPr w:rsidR="0085715B" w:rsidRPr="00696029" w:rsidSect="00561165">
          <w:footerReference w:type="even" r:id="rId9"/>
          <w:footerReference w:type="default" r:id="rId10"/>
          <w:footerReference w:type="first" r:id="rId11"/>
          <w:pgSz w:w="12240" w:h="15840"/>
          <w:pgMar w:top="1134" w:right="1701" w:bottom="1701" w:left="1134" w:header="720" w:footer="720" w:gutter="0"/>
          <w:cols w:space="720"/>
          <w:titlePg/>
          <w:docGrid w:linePitch="299"/>
        </w:sectPr>
      </w:pPr>
      <w:r w:rsidRPr="00696029">
        <w:rPr>
          <w:b/>
          <w:spacing w:val="-24"/>
          <w:sz w:val="40"/>
          <w:szCs w:val="40"/>
        </w:rPr>
        <w:br/>
      </w:r>
      <w:r w:rsidRPr="00696029">
        <w:rPr>
          <w:b/>
          <w:spacing w:val="-24"/>
          <w:sz w:val="40"/>
          <w:szCs w:val="40"/>
        </w:rPr>
        <w:br/>
      </w:r>
      <w:r w:rsidRPr="00696029">
        <w:rPr>
          <w:b/>
          <w:spacing w:val="-24"/>
          <w:sz w:val="40"/>
          <w:szCs w:val="40"/>
        </w:rPr>
        <w:br/>
      </w:r>
      <w:r w:rsidRPr="00696029">
        <w:rPr>
          <w:b/>
          <w:spacing w:val="-24"/>
          <w:sz w:val="40"/>
          <w:szCs w:val="40"/>
        </w:rPr>
        <w:br/>
      </w:r>
    </w:p>
    <w:tbl>
      <w:tblPr>
        <w:tblW w:w="9639" w:type="dxa"/>
        <w:shd w:val="clear" w:color="auto" w:fill="E9C224"/>
        <w:tblLayout w:type="fixed"/>
        <w:tblLook w:val="0400" w:firstRow="0" w:lastRow="0" w:firstColumn="0" w:lastColumn="0" w:noHBand="0" w:noVBand="1"/>
      </w:tblPr>
      <w:tblGrid>
        <w:gridCol w:w="9639"/>
      </w:tblGrid>
      <w:tr w:rsidR="0085715B" w:rsidRPr="00FE43F8" w14:paraId="36B0E76A" w14:textId="77777777" w:rsidTr="00BB7137">
        <w:trPr>
          <w:trHeight w:val="590"/>
        </w:trPr>
        <w:tc>
          <w:tcPr>
            <w:tcW w:w="9639" w:type="dxa"/>
            <w:shd w:val="clear" w:color="auto" w:fill="F2CC26"/>
            <w:vAlign w:val="center"/>
          </w:tcPr>
          <w:p w14:paraId="50B479C9" w14:textId="77777777" w:rsidR="0085715B" w:rsidRPr="00FE43F8" w:rsidRDefault="0085715B" w:rsidP="00BB7137">
            <w:pPr>
              <w:pStyle w:val="Tableautitre"/>
            </w:pPr>
            <w:bookmarkStart w:id="1" w:name="_Hlk102136488"/>
            <w:bookmarkEnd w:id="0"/>
            <w:r w:rsidRPr="00FE43F8">
              <w:lastRenderedPageBreak/>
              <w:t>EN BREF, AVEC CET OUTIL…</w:t>
            </w:r>
          </w:p>
        </w:tc>
      </w:tr>
      <w:tr w:rsidR="0085715B" w:rsidRPr="00D31CA9" w14:paraId="6226CF75" w14:textId="77777777" w:rsidTr="00BB7137">
        <w:trPr>
          <w:trHeight w:val="1255"/>
        </w:trPr>
        <w:tc>
          <w:tcPr>
            <w:tcW w:w="9639" w:type="dxa"/>
            <w:shd w:val="clear" w:color="auto" w:fill="FFFFFF" w:themeFill="background1"/>
          </w:tcPr>
          <w:p w14:paraId="2F190ACF" w14:textId="07E276D8" w:rsidR="0085715B" w:rsidRDefault="0085715B" w:rsidP="0085715B">
            <w:pPr>
              <w:numPr>
                <w:ilvl w:val="0"/>
                <w:numId w:val="6"/>
              </w:numPr>
              <w:pBdr>
                <w:top w:val="nil"/>
                <w:left w:val="nil"/>
                <w:bottom w:val="nil"/>
                <w:right w:val="nil"/>
                <w:between w:val="nil"/>
              </w:pBdr>
              <w:spacing w:before="200" w:after="200"/>
              <w:rPr>
                <w:color w:val="262626"/>
              </w:rPr>
            </w:pPr>
            <w:r>
              <w:rPr>
                <w:color w:val="262626"/>
              </w:rPr>
              <w:t>Concepts de base et bonnes pratiques.</w:t>
            </w:r>
          </w:p>
          <w:p w14:paraId="1DD72803" w14:textId="6EC081DC" w:rsidR="0085715B" w:rsidRPr="00FE43F8" w:rsidRDefault="0085715B" w:rsidP="0085715B">
            <w:pPr>
              <w:numPr>
                <w:ilvl w:val="0"/>
                <w:numId w:val="6"/>
              </w:numPr>
              <w:pBdr>
                <w:top w:val="nil"/>
                <w:left w:val="nil"/>
                <w:bottom w:val="nil"/>
                <w:right w:val="nil"/>
                <w:between w:val="nil"/>
              </w:pBdr>
              <w:spacing w:before="120" w:after="120"/>
              <w:rPr>
                <w:color w:val="000000"/>
              </w:rPr>
            </w:pPr>
            <w:r>
              <w:t xml:space="preserve">Modèle de </w:t>
            </w:r>
            <w:r>
              <w:rPr>
                <w:color w:val="000000"/>
              </w:rPr>
              <w:t xml:space="preserve">configuration pour la création des </w:t>
            </w:r>
            <w:r>
              <w:rPr>
                <w:b/>
              </w:rPr>
              <w:t>Sous-comités techniques</w:t>
            </w:r>
            <w:r>
              <w:t xml:space="preserve"> (</w:t>
            </w:r>
            <w:r>
              <w:rPr>
                <w:b/>
              </w:rPr>
              <w:t>SCT</w:t>
            </w:r>
            <w:r>
              <w:t>).</w:t>
            </w:r>
          </w:p>
        </w:tc>
      </w:tr>
    </w:tbl>
    <w:p w14:paraId="05F1A994" w14:textId="77777777" w:rsidR="0085715B" w:rsidRPr="00D31CA9" w:rsidRDefault="0085715B" w:rsidP="0085715B">
      <w:pPr>
        <w:spacing w:before="120" w:after="120"/>
        <w:rPr>
          <w:sz w:val="20"/>
          <w:szCs w:val="20"/>
        </w:rPr>
      </w:pPr>
    </w:p>
    <w:tbl>
      <w:tblPr>
        <w:tblW w:w="9639" w:type="dxa"/>
        <w:shd w:val="clear" w:color="auto" w:fill="E9C224"/>
        <w:tblLayout w:type="fixed"/>
        <w:tblLook w:val="0400" w:firstRow="0" w:lastRow="0" w:firstColumn="0" w:lastColumn="0" w:noHBand="0" w:noVBand="1"/>
      </w:tblPr>
      <w:tblGrid>
        <w:gridCol w:w="9639"/>
      </w:tblGrid>
      <w:tr w:rsidR="006451CF" w:rsidRPr="00FE43F8" w14:paraId="62967D10" w14:textId="77777777" w:rsidTr="00191010">
        <w:trPr>
          <w:trHeight w:val="610"/>
        </w:trPr>
        <w:tc>
          <w:tcPr>
            <w:tcW w:w="9639" w:type="dxa"/>
            <w:shd w:val="clear" w:color="auto" w:fill="F2CC26"/>
            <w:vAlign w:val="center"/>
          </w:tcPr>
          <w:p w14:paraId="4EB07572" w14:textId="0E3068A6" w:rsidR="006451CF" w:rsidRPr="00FE43F8" w:rsidRDefault="006451CF" w:rsidP="00BB7137">
            <w:pPr>
              <w:pStyle w:val="Tableautitre"/>
            </w:pPr>
            <w:r w:rsidRPr="00FE43F8">
              <w:t>FONCTIONNEMENT DE L’OUTIL</w:t>
            </w:r>
          </w:p>
        </w:tc>
      </w:tr>
      <w:tr w:rsidR="0085715B" w:rsidRPr="00D31CA9" w14:paraId="105CC78C" w14:textId="77777777" w:rsidTr="00BB7137">
        <w:trPr>
          <w:trHeight w:val="4567"/>
        </w:trPr>
        <w:tc>
          <w:tcPr>
            <w:tcW w:w="9639" w:type="dxa"/>
            <w:tcBorders>
              <w:bottom w:val="single" w:sz="4" w:space="0" w:color="auto"/>
            </w:tcBorders>
            <w:shd w:val="clear" w:color="auto" w:fill="FFFFFF" w:themeFill="background1"/>
          </w:tcPr>
          <w:p w14:paraId="409D48F9" w14:textId="77777777" w:rsidR="0085715B" w:rsidRDefault="0085715B" w:rsidP="0085715B">
            <w:pPr>
              <w:widowControl w:val="0"/>
              <w:spacing w:before="120" w:after="240"/>
              <w:rPr>
                <w:color w:val="262626"/>
              </w:rPr>
            </w:pPr>
            <w:r w:rsidRPr="00D31CA9">
              <w:rPr>
                <w:color w:val="262626"/>
                <w:sz w:val="20"/>
                <w:szCs w:val="20"/>
              </w:rPr>
              <w:br/>
            </w:r>
            <w:r>
              <w:rPr>
                <w:color w:val="262626"/>
              </w:rPr>
              <w:t xml:space="preserve">L’outil contient des directives qui précisent le processus de configuration des </w:t>
            </w:r>
            <w:r>
              <w:rPr>
                <w:b/>
                <w:color w:val="262626"/>
              </w:rPr>
              <w:t>SCT</w:t>
            </w:r>
            <w:r>
              <w:rPr>
                <w:color w:val="262626"/>
              </w:rPr>
              <w:t xml:space="preserve"> ainsi qu’un exemple de configuration.</w:t>
            </w:r>
          </w:p>
          <w:p w14:paraId="7D5A6835" w14:textId="6D0543D5" w:rsidR="0085715B" w:rsidRPr="00D31CA9" w:rsidRDefault="0085715B" w:rsidP="0085715B">
            <w:pPr>
              <w:rPr>
                <w:sz w:val="20"/>
                <w:szCs w:val="20"/>
              </w:rPr>
            </w:pPr>
            <w:r>
              <w:rPr>
                <w:color w:val="262626"/>
              </w:rPr>
              <w:t xml:space="preserve">Il donne des lignes directrices générales pour la configuration des </w:t>
            </w:r>
            <w:r>
              <w:rPr>
                <w:b/>
                <w:color w:val="262626"/>
              </w:rPr>
              <w:t>SCT</w:t>
            </w:r>
            <w:r>
              <w:rPr>
                <w:color w:val="262626"/>
              </w:rPr>
              <w:t>, mais doit être adapté au contexte.</w:t>
            </w:r>
          </w:p>
        </w:tc>
      </w:tr>
    </w:tbl>
    <w:p w14:paraId="525FF6F0" w14:textId="77777777" w:rsidR="0085715B" w:rsidRPr="00803FFA" w:rsidRDefault="0085715B" w:rsidP="0085715B">
      <w:pPr>
        <w:widowControl w:val="0"/>
        <w:spacing w:before="120" w:after="120"/>
        <w:rPr>
          <w:b/>
        </w:rPr>
      </w:pPr>
      <w:r>
        <w:rPr>
          <w:b/>
          <w:color w:val="E8CE0E"/>
        </w:rPr>
        <w:br w:type="page"/>
      </w:r>
    </w:p>
    <w:p w14:paraId="2E9ED40F" w14:textId="74870979" w:rsidR="00BB7DC6" w:rsidRPr="0085715B" w:rsidRDefault="00493B7C" w:rsidP="0085715B">
      <w:pPr>
        <w:pStyle w:val="Titrejaune"/>
        <w:ind w:right="-91"/>
      </w:pPr>
      <w:bookmarkStart w:id="2" w:name="_heading=h.30j0zll" w:colFirst="0" w:colLast="0"/>
      <w:bookmarkEnd w:id="1"/>
      <w:bookmarkEnd w:id="2"/>
      <w:r w:rsidRPr="0085715B">
        <w:lastRenderedPageBreak/>
        <w:t xml:space="preserve">Concepts de base sur la </w:t>
      </w:r>
      <w:r w:rsidR="00895999" w:rsidRPr="0085715B">
        <w:t xml:space="preserve">création </w:t>
      </w:r>
      <w:r w:rsidRPr="0085715B">
        <w:t>des Sous-comités techniques et bonnes pratiques</w:t>
      </w:r>
    </w:p>
    <w:p w14:paraId="53A151AF" w14:textId="77777777" w:rsidR="0085715B" w:rsidRDefault="0085715B" w:rsidP="0085715B">
      <w:pPr>
        <w:widowControl w:val="0"/>
        <w:jc w:val="both"/>
      </w:pPr>
    </w:p>
    <w:p w14:paraId="1E3A1580" w14:textId="4D61C78D" w:rsidR="00BB7DC6" w:rsidRPr="0085715B" w:rsidRDefault="00493B7C" w:rsidP="0085715B">
      <w:pPr>
        <w:widowControl w:val="0"/>
        <w:jc w:val="both"/>
      </w:pPr>
      <w:r w:rsidRPr="0085715B">
        <w:t>L’</w:t>
      </w:r>
      <w:r w:rsidRPr="0085715B">
        <w:rPr>
          <w:b/>
        </w:rPr>
        <w:t xml:space="preserve">Équipe de projet </w:t>
      </w:r>
      <w:r w:rsidRPr="0085715B">
        <w:t xml:space="preserve">crée, anime et coordonne les </w:t>
      </w:r>
      <w:r w:rsidRPr="0085715B">
        <w:rPr>
          <w:b/>
        </w:rPr>
        <w:t>SCT</w:t>
      </w:r>
      <w:r w:rsidRPr="0085715B">
        <w:t xml:space="preserve">. La création de </w:t>
      </w:r>
      <w:r w:rsidRPr="0085715B">
        <w:rPr>
          <w:b/>
        </w:rPr>
        <w:t>SCT</w:t>
      </w:r>
      <w:r w:rsidRPr="0085715B">
        <w:t xml:space="preserve"> répond aux besoins d’une FDR en misant sur les forces des PP.</w:t>
      </w:r>
    </w:p>
    <w:p w14:paraId="35577F01" w14:textId="77777777" w:rsidR="00BB7DC6" w:rsidRPr="0085715B" w:rsidRDefault="00BB7DC6" w:rsidP="0085715B">
      <w:pPr>
        <w:widowControl w:val="0"/>
        <w:jc w:val="both"/>
      </w:pPr>
    </w:p>
    <w:p w14:paraId="78B02958" w14:textId="6320DACC" w:rsidR="00BB7DC6" w:rsidRPr="0085715B" w:rsidRDefault="00493B7C" w:rsidP="0085715B">
      <w:pPr>
        <w:widowControl w:val="0"/>
        <w:jc w:val="both"/>
      </w:pPr>
      <w:r w:rsidRPr="0085715B">
        <w:t xml:space="preserve">Le nombre et la diversité des </w:t>
      </w:r>
      <w:r w:rsidRPr="0085715B">
        <w:rPr>
          <w:b/>
        </w:rPr>
        <w:t>SCT</w:t>
      </w:r>
      <w:r w:rsidRPr="0085715B">
        <w:t xml:space="preserve"> reflètent les besoins et les ressources de l’écosystème régional. Leur création permet de répartir les rôles et responsabilités entre les différentes PP des projets composant la FDR de manière à maximiser l’apport de chacune. Il est possible, par exemple, de créer un </w:t>
      </w:r>
      <w:r w:rsidRPr="0085715B">
        <w:rPr>
          <w:b/>
        </w:rPr>
        <w:t>SCT</w:t>
      </w:r>
      <w:r w:rsidRPr="0085715B">
        <w:t xml:space="preserve"> pour chaque orientation stratégique, ce qui permet la réalisation de projets structurants touchant des thématiques variées et de concentrer les énergies vers l’atteinte des différents objectifs de la FDR. La formation des </w:t>
      </w:r>
      <w:r w:rsidRPr="0085715B">
        <w:rPr>
          <w:b/>
        </w:rPr>
        <w:t>SCT</w:t>
      </w:r>
      <w:r w:rsidRPr="0085715B">
        <w:t xml:space="preserve"> doit s’appuyer sur les forces de l’écosystème, tout en mettant en place une structure de reddition de compte et de coordination simple et efficace.</w:t>
      </w:r>
    </w:p>
    <w:p w14:paraId="192F08F6" w14:textId="77777777" w:rsidR="00BB7DC6" w:rsidRPr="0085715B" w:rsidRDefault="00BB7DC6" w:rsidP="0085715B">
      <w:pPr>
        <w:widowControl w:val="0"/>
        <w:jc w:val="both"/>
      </w:pPr>
    </w:p>
    <w:p w14:paraId="3C777FBD" w14:textId="77777777" w:rsidR="00BB7DC6" w:rsidRPr="0085715B" w:rsidRDefault="00493B7C" w:rsidP="0085715B">
      <w:pPr>
        <w:widowControl w:val="0"/>
        <w:jc w:val="both"/>
      </w:pPr>
      <w:r w:rsidRPr="0085715B">
        <w:t xml:space="preserve">Un </w:t>
      </w:r>
      <w:r w:rsidRPr="0085715B">
        <w:rPr>
          <w:b/>
        </w:rPr>
        <w:t>SCT</w:t>
      </w:r>
      <w:r w:rsidRPr="0085715B">
        <w:t xml:space="preserve"> est composé de PP concernées par l’orientation stratégique. À l’issue de leur travail, des PP engagées, les </w:t>
      </w:r>
      <w:r w:rsidRPr="0085715B">
        <w:rPr>
          <w:b/>
        </w:rPr>
        <w:t>Organisations engagées</w:t>
      </w:r>
      <w:r w:rsidRPr="0085715B">
        <w:t>, sont identifiées et habilitées pour déployer et mettre en œuvre les actions de la FDR et en mesurer les impacts.</w:t>
      </w:r>
    </w:p>
    <w:p w14:paraId="4F6C3C3E" w14:textId="77777777" w:rsidR="00BB7DC6" w:rsidRPr="0085715B" w:rsidRDefault="00BB7DC6" w:rsidP="0085715B">
      <w:pPr>
        <w:widowControl w:val="0"/>
        <w:jc w:val="both"/>
      </w:pPr>
    </w:p>
    <w:p w14:paraId="064FF46A" w14:textId="7C667C1F" w:rsidR="00BB7DC6" w:rsidRDefault="00493B7C" w:rsidP="0085715B">
      <w:pPr>
        <w:widowControl w:val="0"/>
        <w:jc w:val="both"/>
      </w:pPr>
      <w:r w:rsidRPr="0085715B">
        <w:t>Pour assurer une bonne coordination et une bonne communication entre l’</w:t>
      </w:r>
      <w:r w:rsidRPr="0085715B">
        <w:rPr>
          <w:b/>
        </w:rPr>
        <w:t>Équipe de projet</w:t>
      </w:r>
      <w:r w:rsidRPr="0085715B">
        <w:t xml:space="preserve"> et les </w:t>
      </w:r>
      <w:r w:rsidRPr="0085715B">
        <w:rPr>
          <w:b/>
        </w:rPr>
        <w:t>SCT</w:t>
      </w:r>
      <w:r w:rsidRPr="0085715B">
        <w:t>, il est important d’instaurer un mécanisme clair pour faire remonter l’information vers l’</w:t>
      </w:r>
      <w:r w:rsidRPr="0085715B">
        <w:rPr>
          <w:b/>
        </w:rPr>
        <w:t>Équipe de projet</w:t>
      </w:r>
      <w:r w:rsidRPr="0085715B">
        <w:t>.</w:t>
      </w:r>
    </w:p>
    <w:p w14:paraId="02B4B7FD" w14:textId="77777777" w:rsidR="00244526" w:rsidRPr="0085715B" w:rsidRDefault="00244526" w:rsidP="0085715B">
      <w:pPr>
        <w:widowControl w:val="0"/>
        <w:jc w:val="both"/>
      </w:pPr>
    </w:p>
    <w:p w14:paraId="44602A79" w14:textId="77777777" w:rsidR="00BB7DC6" w:rsidRPr="0085715B" w:rsidRDefault="00493B7C" w:rsidP="00244526">
      <w:pPr>
        <w:widowControl w:val="0"/>
        <w:spacing w:after="120"/>
        <w:jc w:val="both"/>
        <w:rPr>
          <w:b/>
        </w:rPr>
      </w:pPr>
      <w:r w:rsidRPr="0085715B">
        <w:rPr>
          <w:b/>
        </w:rPr>
        <w:t>Voici les responsabilités des SCT :</w:t>
      </w:r>
    </w:p>
    <w:p w14:paraId="384A44FD" w14:textId="77777777" w:rsidR="00BB7DC6" w:rsidRPr="0085715B" w:rsidRDefault="00493B7C" w:rsidP="0085715B">
      <w:pPr>
        <w:numPr>
          <w:ilvl w:val="0"/>
          <w:numId w:val="5"/>
        </w:numPr>
        <w:pBdr>
          <w:top w:val="nil"/>
          <w:left w:val="nil"/>
          <w:bottom w:val="nil"/>
          <w:right w:val="nil"/>
          <w:between w:val="nil"/>
        </w:pBdr>
        <w:rPr>
          <w:color w:val="000000"/>
        </w:rPr>
      </w:pPr>
      <w:r w:rsidRPr="0085715B">
        <w:rPr>
          <w:color w:val="000000"/>
        </w:rPr>
        <w:t>S’impliquer dans le processus d’identification et de mise à jour des objectifs et des indicateurs de circularité.</w:t>
      </w:r>
    </w:p>
    <w:p w14:paraId="1445805E" w14:textId="77777777" w:rsidR="00BB7DC6" w:rsidRPr="0085715B" w:rsidRDefault="00493B7C" w:rsidP="0085715B">
      <w:pPr>
        <w:numPr>
          <w:ilvl w:val="0"/>
          <w:numId w:val="5"/>
        </w:numPr>
        <w:pBdr>
          <w:top w:val="nil"/>
          <w:left w:val="nil"/>
          <w:bottom w:val="nil"/>
          <w:right w:val="nil"/>
          <w:between w:val="nil"/>
        </w:pBdr>
        <w:rPr>
          <w:color w:val="000000"/>
        </w:rPr>
      </w:pPr>
      <w:r w:rsidRPr="0085715B">
        <w:rPr>
          <w:color w:val="000000"/>
        </w:rPr>
        <w:t>Définir les actions de la FDR et identifier les organisations responsables de leur mise en œuvre.</w:t>
      </w:r>
    </w:p>
    <w:p w14:paraId="495A638D" w14:textId="77777777" w:rsidR="00BB7DC6" w:rsidRPr="0085715B" w:rsidRDefault="00493B7C" w:rsidP="0085715B">
      <w:pPr>
        <w:numPr>
          <w:ilvl w:val="0"/>
          <w:numId w:val="5"/>
        </w:numPr>
        <w:pBdr>
          <w:top w:val="nil"/>
          <w:left w:val="nil"/>
          <w:bottom w:val="nil"/>
          <w:right w:val="nil"/>
          <w:between w:val="nil"/>
        </w:pBdr>
        <w:rPr>
          <w:color w:val="000000"/>
        </w:rPr>
      </w:pPr>
      <w:r w:rsidRPr="0085715B">
        <w:rPr>
          <w:color w:val="000000"/>
        </w:rPr>
        <w:t>Faire valoir les points de vue et les intérêts des PP visées par la FDR.</w:t>
      </w:r>
    </w:p>
    <w:p w14:paraId="2BA9E40D" w14:textId="77777777" w:rsidR="00BB7DC6" w:rsidRPr="0085715B" w:rsidRDefault="00493B7C" w:rsidP="0085715B">
      <w:pPr>
        <w:numPr>
          <w:ilvl w:val="0"/>
          <w:numId w:val="5"/>
        </w:numPr>
        <w:pBdr>
          <w:top w:val="nil"/>
          <w:left w:val="nil"/>
          <w:bottom w:val="nil"/>
          <w:right w:val="nil"/>
          <w:between w:val="nil"/>
        </w:pBdr>
        <w:rPr>
          <w:color w:val="000000"/>
        </w:rPr>
      </w:pPr>
      <w:r w:rsidRPr="0085715B">
        <w:rPr>
          <w:color w:val="000000"/>
        </w:rPr>
        <w:t>Réunir les conditions nécessaires pour assurer le succès de l’élaboration et de la mise en œuvre de la FDR.</w:t>
      </w:r>
    </w:p>
    <w:p w14:paraId="2F9E99AB" w14:textId="77777777" w:rsidR="00BB7DC6" w:rsidRPr="0085715B" w:rsidRDefault="00493B7C" w:rsidP="0085715B">
      <w:pPr>
        <w:numPr>
          <w:ilvl w:val="0"/>
          <w:numId w:val="5"/>
        </w:numPr>
        <w:pBdr>
          <w:top w:val="nil"/>
          <w:left w:val="nil"/>
          <w:bottom w:val="nil"/>
          <w:right w:val="nil"/>
          <w:between w:val="nil"/>
        </w:pBdr>
        <w:rPr>
          <w:color w:val="000000"/>
        </w:rPr>
      </w:pPr>
      <w:r w:rsidRPr="0085715B">
        <w:rPr>
          <w:color w:val="000000"/>
        </w:rPr>
        <w:t>Suivre l’évolution et l’amélioration continue de la FDR.</w:t>
      </w:r>
    </w:p>
    <w:p w14:paraId="727A11E1" w14:textId="77777777" w:rsidR="00BB7DC6" w:rsidRPr="0085715B" w:rsidRDefault="00493B7C" w:rsidP="0085715B">
      <w:pPr>
        <w:widowControl w:val="0"/>
        <w:numPr>
          <w:ilvl w:val="0"/>
          <w:numId w:val="4"/>
        </w:numPr>
        <w:pBdr>
          <w:top w:val="nil"/>
          <w:left w:val="nil"/>
          <w:bottom w:val="nil"/>
          <w:right w:val="nil"/>
          <w:between w:val="nil"/>
        </w:pBdr>
        <w:jc w:val="both"/>
        <w:rPr>
          <w:b/>
          <w:color w:val="000000"/>
        </w:rPr>
      </w:pPr>
      <w:r w:rsidRPr="0085715B">
        <w:rPr>
          <w:color w:val="000000"/>
        </w:rPr>
        <w:t xml:space="preserve">Soutenir les </w:t>
      </w:r>
      <w:r w:rsidRPr="0085715B">
        <w:rPr>
          <w:b/>
          <w:color w:val="000000"/>
        </w:rPr>
        <w:t xml:space="preserve">Organisations </w:t>
      </w:r>
      <w:r w:rsidRPr="0085715B">
        <w:rPr>
          <w:b/>
          <w:color w:val="000000"/>
          <w:highlight w:val="white"/>
        </w:rPr>
        <w:t xml:space="preserve">engagées </w:t>
      </w:r>
      <w:r w:rsidRPr="0085715B">
        <w:rPr>
          <w:color w:val="000000"/>
          <w:highlight w:val="white"/>
        </w:rPr>
        <w:t>dans la mise en œuvre de la FDR.</w:t>
      </w:r>
    </w:p>
    <w:p w14:paraId="033EF098" w14:textId="77777777" w:rsidR="0085715B" w:rsidRDefault="0085715B" w:rsidP="0085715B">
      <w:pPr>
        <w:jc w:val="both"/>
      </w:pPr>
    </w:p>
    <w:p w14:paraId="500CDFFF" w14:textId="2C02D1FF" w:rsidR="00BB7DC6" w:rsidRDefault="00493B7C" w:rsidP="0085715B">
      <w:pPr>
        <w:jc w:val="both"/>
      </w:pPr>
      <w:r w:rsidRPr="0085715B">
        <w:t>Il est également recommandé de créer une fiche descriptive d’une longueur d’une page qui précisera les attentes de l’</w:t>
      </w:r>
      <w:r w:rsidRPr="0085715B">
        <w:rPr>
          <w:b/>
        </w:rPr>
        <w:t>Équipe de projet</w:t>
      </w:r>
      <w:r w:rsidRPr="0085715B">
        <w:t xml:space="preserve"> envers les membres des </w:t>
      </w:r>
      <w:r w:rsidRPr="0085715B">
        <w:rPr>
          <w:b/>
        </w:rPr>
        <w:t>SCT</w:t>
      </w:r>
      <w:r w:rsidRPr="0085715B">
        <w:t>. Cette fiche pourrait, par exemple, décrire la fréquence des rencontres, la charge de travail, l’échéancier du projet, le processus décisionnel et les règles de gouvernance.</w:t>
      </w:r>
    </w:p>
    <w:p w14:paraId="16D6E6D2" w14:textId="6A0308CC" w:rsidR="0085715B" w:rsidRPr="00244526" w:rsidRDefault="0085715B">
      <w:pPr>
        <w:jc w:val="both"/>
        <w:rPr>
          <w:b/>
        </w:rPr>
      </w:pPr>
    </w:p>
    <w:p w14:paraId="11757A8B" w14:textId="77777777" w:rsidR="00244526" w:rsidRPr="00244526" w:rsidRDefault="00244526">
      <w:pPr>
        <w:jc w:val="both"/>
        <w:rPr>
          <w:b/>
        </w:rPr>
      </w:pPr>
    </w:p>
    <w:p w14:paraId="18FA0BD6" w14:textId="77777777" w:rsidR="00BB7DC6" w:rsidRPr="00244526" w:rsidRDefault="00493B7C">
      <w:pPr>
        <w:widowControl w:val="0"/>
        <w:rPr>
          <w:b/>
          <w:bCs/>
          <w:color w:val="F2CC26"/>
          <w:sz w:val="56"/>
          <w:szCs w:val="56"/>
          <w:lang w:val="fr-FR" w:eastAsia="en-US"/>
        </w:rPr>
      </w:pPr>
      <w:r w:rsidRPr="00244526">
        <w:rPr>
          <w:b/>
          <w:bCs/>
          <w:color w:val="F2CC26"/>
          <w:sz w:val="56"/>
          <w:szCs w:val="56"/>
          <w:lang w:val="fr-FR" w:eastAsia="en-US"/>
        </w:rPr>
        <w:lastRenderedPageBreak/>
        <w:t>Proposition d’une configuration des Sous-comités techniques</w:t>
      </w:r>
    </w:p>
    <w:p w14:paraId="62DDB4E5" w14:textId="77777777" w:rsidR="00244526" w:rsidRDefault="00244526" w:rsidP="00244526">
      <w:pPr>
        <w:jc w:val="both"/>
      </w:pPr>
    </w:p>
    <w:p w14:paraId="4BA4CE2F" w14:textId="36AB40B2" w:rsidR="00BB7DC6" w:rsidRDefault="00493B7C" w:rsidP="00244526">
      <w:pPr>
        <w:jc w:val="both"/>
      </w:pPr>
      <w:r w:rsidRPr="0085715B">
        <w:t xml:space="preserve">Les </w:t>
      </w:r>
      <w:r w:rsidRPr="0085715B">
        <w:rPr>
          <w:b/>
        </w:rPr>
        <w:t>SCT</w:t>
      </w:r>
      <w:r w:rsidRPr="0085715B">
        <w:t xml:space="preserve"> reflètent les orientations et les priorités stratégiques de la région. La configuration de chaque </w:t>
      </w:r>
      <w:r w:rsidRPr="0085715B">
        <w:rPr>
          <w:b/>
        </w:rPr>
        <w:t>SCT</w:t>
      </w:r>
      <w:r w:rsidRPr="0085715B">
        <w:t xml:space="preserve"> est déterminée par leur mandat ou le secteur visé (Tableau 1). L’</w:t>
      </w:r>
      <w:r w:rsidRPr="0085715B">
        <w:rPr>
          <w:b/>
        </w:rPr>
        <w:t xml:space="preserve">Équipe de projet </w:t>
      </w:r>
      <w:r w:rsidRPr="0085715B">
        <w:t>rassemble ainsi les grands acteurs de l’écosystème autour des orientations stratégiques et des objectifs de la FDR.</w:t>
      </w:r>
    </w:p>
    <w:p w14:paraId="4B1BF549" w14:textId="77777777" w:rsidR="00244526" w:rsidRPr="0085715B" w:rsidRDefault="00244526" w:rsidP="00244526">
      <w:pPr>
        <w:jc w:val="both"/>
      </w:pPr>
    </w:p>
    <w:p w14:paraId="0C86B8D2" w14:textId="7EA3BBB6" w:rsidR="00BB7DC6" w:rsidRPr="00244526" w:rsidRDefault="00493B7C" w:rsidP="00244526">
      <w:pPr>
        <w:pStyle w:val="TitreTab"/>
        <w:spacing w:before="0" w:after="0"/>
      </w:pPr>
      <w:r w:rsidRPr="00244526">
        <w:t>Tableau 1 – Configuration d’un Sous-comité technique (exemple)</w:t>
      </w:r>
    </w:p>
    <w:tbl>
      <w:tblPr>
        <w:tblStyle w:val="af"/>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7"/>
        <w:gridCol w:w="3543"/>
        <w:gridCol w:w="3828"/>
      </w:tblGrid>
      <w:tr w:rsidR="00244526" w:rsidRPr="00244526" w14:paraId="182F7F68" w14:textId="77777777" w:rsidTr="00244526">
        <w:trPr>
          <w:trHeight w:val="375"/>
        </w:trPr>
        <w:tc>
          <w:tcPr>
            <w:tcW w:w="2127" w:type="dxa"/>
            <w:shd w:val="clear" w:color="auto" w:fill="F2CC26"/>
            <w:vAlign w:val="center"/>
          </w:tcPr>
          <w:p w14:paraId="276CF84D" w14:textId="77777777" w:rsidR="00BB7DC6" w:rsidRPr="00244526" w:rsidRDefault="00493B7C">
            <w:pPr>
              <w:jc w:val="left"/>
              <w:rPr>
                <w:rFonts w:ascii="Arial" w:eastAsia="Arial" w:hAnsi="Arial" w:cs="Arial"/>
                <w:b/>
              </w:rPr>
            </w:pPr>
            <w:r w:rsidRPr="00244526">
              <w:rPr>
                <w:rFonts w:ascii="Arial" w:eastAsia="Arial" w:hAnsi="Arial" w:cs="Arial"/>
                <w:b/>
              </w:rPr>
              <w:t>Nombre de personnes</w:t>
            </w:r>
          </w:p>
        </w:tc>
        <w:tc>
          <w:tcPr>
            <w:tcW w:w="3543" w:type="dxa"/>
            <w:shd w:val="clear" w:color="auto" w:fill="F2CC26"/>
            <w:vAlign w:val="center"/>
          </w:tcPr>
          <w:p w14:paraId="1A7E7BAA" w14:textId="77777777" w:rsidR="00BB7DC6" w:rsidRPr="00244526" w:rsidRDefault="00493B7C">
            <w:pPr>
              <w:jc w:val="left"/>
              <w:rPr>
                <w:rFonts w:ascii="Arial" w:eastAsia="Arial" w:hAnsi="Arial" w:cs="Arial"/>
                <w:b/>
              </w:rPr>
            </w:pPr>
            <w:r w:rsidRPr="00244526">
              <w:rPr>
                <w:rFonts w:ascii="Arial" w:eastAsia="Arial" w:hAnsi="Arial" w:cs="Arial"/>
                <w:b/>
              </w:rPr>
              <w:t>Provenance</w:t>
            </w:r>
          </w:p>
        </w:tc>
        <w:tc>
          <w:tcPr>
            <w:tcW w:w="3828" w:type="dxa"/>
            <w:shd w:val="clear" w:color="auto" w:fill="F2CC26"/>
            <w:vAlign w:val="center"/>
          </w:tcPr>
          <w:p w14:paraId="015AEC7F" w14:textId="77777777" w:rsidR="00BB7DC6" w:rsidRPr="00244526" w:rsidRDefault="00493B7C">
            <w:pPr>
              <w:jc w:val="left"/>
              <w:rPr>
                <w:rFonts w:ascii="Arial" w:eastAsia="Arial" w:hAnsi="Arial" w:cs="Arial"/>
                <w:b/>
              </w:rPr>
            </w:pPr>
            <w:r w:rsidRPr="00244526">
              <w:rPr>
                <w:rFonts w:ascii="Arial" w:eastAsia="Arial" w:hAnsi="Arial" w:cs="Arial"/>
                <w:b/>
              </w:rPr>
              <w:t>Rôles et responsabilités spécifiques</w:t>
            </w:r>
          </w:p>
        </w:tc>
      </w:tr>
      <w:tr w:rsidR="00BB7DC6" w14:paraId="42E96D59" w14:textId="77777777" w:rsidTr="00244526">
        <w:trPr>
          <w:trHeight w:val="838"/>
        </w:trPr>
        <w:tc>
          <w:tcPr>
            <w:tcW w:w="2127" w:type="dxa"/>
          </w:tcPr>
          <w:p w14:paraId="71378641" w14:textId="77777777" w:rsidR="00BB7DC6" w:rsidRPr="00244526" w:rsidRDefault="00493B7C">
            <w:pPr>
              <w:spacing w:before="200" w:after="200"/>
              <w:ind w:left="-45"/>
              <w:jc w:val="left"/>
              <w:rPr>
                <w:rFonts w:ascii="Arial" w:eastAsia="Arial" w:hAnsi="Arial" w:cs="Arial"/>
                <w:highlight w:val="white"/>
              </w:rPr>
            </w:pPr>
            <w:r w:rsidRPr="00244526">
              <w:rPr>
                <w:rFonts w:ascii="Arial" w:eastAsia="Arial" w:hAnsi="Arial" w:cs="Arial"/>
              </w:rPr>
              <w:t>1 représentant de l’</w:t>
            </w:r>
            <w:r w:rsidRPr="00244526">
              <w:rPr>
                <w:rFonts w:ascii="Arial" w:eastAsia="Arial" w:hAnsi="Arial" w:cs="Arial"/>
                <w:b/>
              </w:rPr>
              <w:t>Équipe de projet</w:t>
            </w:r>
          </w:p>
        </w:tc>
        <w:tc>
          <w:tcPr>
            <w:tcW w:w="3543" w:type="dxa"/>
          </w:tcPr>
          <w:p w14:paraId="7A267045" w14:textId="77777777" w:rsidR="00BB7DC6" w:rsidRPr="00244526" w:rsidRDefault="00493B7C">
            <w:pPr>
              <w:spacing w:before="200" w:after="200"/>
              <w:ind w:left="-45"/>
              <w:jc w:val="left"/>
              <w:rPr>
                <w:rFonts w:ascii="Arial" w:eastAsia="Arial" w:hAnsi="Arial" w:cs="Arial"/>
                <w:b/>
                <w:highlight w:val="white"/>
              </w:rPr>
            </w:pPr>
            <w:r w:rsidRPr="00244526">
              <w:rPr>
                <w:rFonts w:ascii="Arial" w:eastAsia="Arial" w:hAnsi="Arial" w:cs="Arial"/>
                <w:b/>
              </w:rPr>
              <w:t>Porteur</w:t>
            </w:r>
          </w:p>
        </w:tc>
        <w:tc>
          <w:tcPr>
            <w:tcW w:w="3828" w:type="dxa"/>
          </w:tcPr>
          <w:p w14:paraId="2FAE0B04" w14:textId="77777777" w:rsidR="00BB7DC6" w:rsidRPr="00244526" w:rsidRDefault="00493B7C">
            <w:pPr>
              <w:spacing w:before="200" w:after="200"/>
              <w:jc w:val="left"/>
              <w:rPr>
                <w:rFonts w:ascii="Arial" w:eastAsia="Arial" w:hAnsi="Arial" w:cs="Arial"/>
              </w:rPr>
            </w:pPr>
            <w:r w:rsidRPr="00244526">
              <w:rPr>
                <w:rFonts w:ascii="Arial" w:eastAsia="Arial" w:hAnsi="Arial" w:cs="Arial"/>
              </w:rPr>
              <w:t xml:space="preserve">Animer et coordonner les </w:t>
            </w:r>
            <w:r w:rsidRPr="00244526">
              <w:rPr>
                <w:rFonts w:ascii="Arial" w:eastAsia="Arial" w:hAnsi="Arial" w:cs="Arial"/>
                <w:b/>
              </w:rPr>
              <w:t>SCT</w:t>
            </w:r>
            <w:r w:rsidRPr="00244526">
              <w:rPr>
                <w:rFonts w:ascii="Arial" w:eastAsia="Arial" w:hAnsi="Arial" w:cs="Arial"/>
              </w:rPr>
              <w:t>.</w:t>
            </w:r>
          </w:p>
        </w:tc>
      </w:tr>
      <w:tr w:rsidR="00BB7DC6" w14:paraId="4F06989D" w14:textId="77777777" w:rsidTr="00244526">
        <w:trPr>
          <w:trHeight w:val="780"/>
        </w:trPr>
        <w:tc>
          <w:tcPr>
            <w:tcW w:w="2127" w:type="dxa"/>
          </w:tcPr>
          <w:p w14:paraId="1014C175" w14:textId="77777777" w:rsidR="00BB7DC6" w:rsidRPr="00244526" w:rsidRDefault="00493B7C">
            <w:pPr>
              <w:spacing w:before="200" w:after="200"/>
              <w:ind w:left="-45"/>
              <w:jc w:val="left"/>
              <w:rPr>
                <w:rFonts w:ascii="Arial" w:eastAsia="Arial" w:hAnsi="Arial" w:cs="Arial"/>
              </w:rPr>
            </w:pPr>
            <w:r w:rsidRPr="00244526">
              <w:rPr>
                <w:rFonts w:ascii="Arial" w:eastAsia="Arial" w:hAnsi="Arial" w:cs="Arial"/>
                <w:highlight w:val="white"/>
              </w:rPr>
              <w:t>2 à 5 représentants</w:t>
            </w:r>
          </w:p>
        </w:tc>
        <w:tc>
          <w:tcPr>
            <w:tcW w:w="3543" w:type="dxa"/>
          </w:tcPr>
          <w:p w14:paraId="074E5BFB" w14:textId="77777777" w:rsidR="00BB7DC6" w:rsidRPr="00244526" w:rsidRDefault="00493B7C">
            <w:pPr>
              <w:spacing w:before="200" w:after="200"/>
              <w:ind w:left="-45"/>
              <w:jc w:val="left"/>
              <w:rPr>
                <w:rFonts w:ascii="Arial" w:eastAsia="Arial" w:hAnsi="Arial" w:cs="Arial"/>
              </w:rPr>
            </w:pPr>
            <w:r w:rsidRPr="00244526">
              <w:rPr>
                <w:rFonts w:ascii="Arial" w:eastAsia="Arial" w:hAnsi="Arial" w:cs="Arial"/>
                <w:highlight w:val="white"/>
              </w:rPr>
              <w:t xml:space="preserve">Industries, commerces et institutions (ICI) du territoire </w:t>
            </w:r>
            <w:r w:rsidRPr="00244526">
              <w:rPr>
                <w:rFonts w:ascii="Arial" w:eastAsia="Arial" w:hAnsi="Arial" w:cs="Arial"/>
              </w:rPr>
              <w:t xml:space="preserve">dont les orientations, objectifs et actions de la FDR touchent directement les activités </w:t>
            </w:r>
            <w:r w:rsidRPr="00244526">
              <w:rPr>
                <w:rFonts w:ascii="Arial" w:eastAsia="Arial" w:hAnsi="Arial" w:cs="Arial"/>
                <w:highlight w:val="white"/>
              </w:rPr>
              <w:t>(entreprises privées, d’économie sociale et organismes publics).</w:t>
            </w:r>
          </w:p>
        </w:tc>
        <w:tc>
          <w:tcPr>
            <w:tcW w:w="3828" w:type="dxa"/>
          </w:tcPr>
          <w:p w14:paraId="642B61AE" w14:textId="77777777" w:rsidR="00BB7DC6" w:rsidRPr="00244526" w:rsidRDefault="00493B7C">
            <w:pPr>
              <w:spacing w:before="200" w:after="200"/>
              <w:jc w:val="left"/>
              <w:rPr>
                <w:rFonts w:ascii="Arial" w:eastAsia="Arial" w:hAnsi="Arial" w:cs="Arial"/>
              </w:rPr>
            </w:pPr>
            <w:r w:rsidRPr="00244526">
              <w:rPr>
                <w:rFonts w:ascii="Arial" w:eastAsia="Arial" w:hAnsi="Arial" w:cs="Arial"/>
              </w:rPr>
              <w:t>Mobiliser et sensibiliser leurs réseaux.</w:t>
            </w:r>
          </w:p>
          <w:p w14:paraId="6F4F4492" w14:textId="77777777" w:rsidR="00BB7DC6" w:rsidRPr="00244526" w:rsidRDefault="00493B7C">
            <w:pPr>
              <w:spacing w:before="200" w:after="200"/>
              <w:jc w:val="left"/>
              <w:rPr>
                <w:rFonts w:ascii="Arial" w:eastAsia="Arial" w:hAnsi="Arial" w:cs="Arial"/>
              </w:rPr>
            </w:pPr>
            <w:r w:rsidRPr="00244526">
              <w:rPr>
                <w:rFonts w:ascii="Arial" w:eastAsia="Arial" w:hAnsi="Arial" w:cs="Arial"/>
              </w:rPr>
              <w:t>Mettre à profit leurs connaissances et leur expertise.</w:t>
            </w:r>
          </w:p>
        </w:tc>
      </w:tr>
      <w:tr w:rsidR="00BB7DC6" w14:paraId="1C49F309" w14:textId="77777777" w:rsidTr="00244526">
        <w:trPr>
          <w:trHeight w:val="838"/>
        </w:trPr>
        <w:tc>
          <w:tcPr>
            <w:tcW w:w="2127" w:type="dxa"/>
          </w:tcPr>
          <w:p w14:paraId="4B199760" w14:textId="77777777" w:rsidR="00BB7DC6" w:rsidRPr="00244526" w:rsidRDefault="00493B7C">
            <w:pPr>
              <w:spacing w:before="200" w:after="200"/>
              <w:ind w:left="-45"/>
              <w:jc w:val="left"/>
              <w:rPr>
                <w:rFonts w:ascii="Arial" w:eastAsia="Arial" w:hAnsi="Arial" w:cs="Arial"/>
              </w:rPr>
            </w:pPr>
            <w:r w:rsidRPr="00244526">
              <w:rPr>
                <w:rFonts w:ascii="Arial" w:eastAsia="Arial" w:hAnsi="Arial" w:cs="Arial"/>
                <w:highlight w:val="white"/>
              </w:rPr>
              <w:t>0 à 2 représentants</w:t>
            </w:r>
          </w:p>
        </w:tc>
        <w:tc>
          <w:tcPr>
            <w:tcW w:w="3543" w:type="dxa"/>
          </w:tcPr>
          <w:p w14:paraId="2FD11DA2" w14:textId="77777777" w:rsidR="00BB7DC6" w:rsidRPr="00244526" w:rsidRDefault="00493B7C">
            <w:pPr>
              <w:spacing w:before="200" w:after="200"/>
              <w:ind w:left="-45"/>
              <w:jc w:val="left"/>
              <w:rPr>
                <w:rFonts w:ascii="Arial" w:eastAsia="Arial" w:hAnsi="Arial" w:cs="Arial"/>
              </w:rPr>
            </w:pPr>
            <w:r w:rsidRPr="00244526">
              <w:rPr>
                <w:rFonts w:ascii="Arial" w:eastAsia="Arial" w:hAnsi="Arial" w:cs="Arial"/>
              </w:rPr>
              <w:t>Centres de recherche et experts-conseils (universités et partenaires scientifiques et techniques).</w:t>
            </w:r>
          </w:p>
        </w:tc>
        <w:tc>
          <w:tcPr>
            <w:tcW w:w="3828" w:type="dxa"/>
          </w:tcPr>
          <w:p w14:paraId="046AAEF1" w14:textId="77777777" w:rsidR="00BB7DC6" w:rsidRPr="00244526" w:rsidRDefault="00493B7C">
            <w:pPr>
              <w:spacing w:before="200" w:after="200"/>
              <w:ind w:left="-9"/>
              <w:jc w:val="left"/>
              <w:rPr>
                <w:rFonts w:ascii="Arial" w:eastAsia="Arial" w:hAnsi="Arial" w:cs="Arial"/>
              </w:rPr>
            </w:pPr>
            <w:r w:rsidRPr="00244526">
              <w:rPr>
                <w:rFonts w:ascii="Arial" w:eastAsia="Arial" w:hAnsi="Arial" w:cs="Arial"/>
              </w:rPr>
              <w:t>Prioriser les actions grâce à :</w:t>
            </w:r>
          </w:p>
          <w:p w14:paraId="0BC5F3EC" w14:textId="77777777" w:rsidR="00BB7DC6" w:rsidRPr="00244526" w:rsidRDefault="00493B7C" w:rsidP="00244526">
            <w:pPr>
              <w:numPr>
                <w:ilvl w:val="0"/>
                <w:numId w:val="1"/>
              </w:numPr>
              <w:spacing w:before="200" w:after="200"/>
              <w:ind w:left="172" w:hanging="219"/>
              <w:jc w:val="left"/>
              <w:rPr>
                <w:rFonts w:ascii="Arial" w:eastAsia="Arial" w:hAnsi="Arial" w:cs="Arial"/>
                <w:color w:val="000000"/>
              </w:rPr>
            </w:pPr>
            <w:r w:rsidRPr="00244526">
              <w:rPr>
                <w:rFonts w:ascii="Arial" w:eastAsia="Arial" w:hAnsi="Arial" w:cs="Arial"/>
                <w:color w:val="000000"/>
              </w:rPr>
              <w:t>Recherche et développement.</w:t>
            </w:r>
          </w:p>
          <w:p w14:paraId="442B6A31" w14:textId="77777777" w:rsidR="00BB7DC6" w:rsidRPr="00244526" w:rsidRDefault="00493B7C" w:rsidP="00244526">
            <w:pPr>
              <w:numPr>
                <w:ilvl w:val="0"/>
                <w:numId w:val="1"/>
              </w:numPr>
              <w:spacing w:before="200" w:after="200"/>
              <w:ind w:left="172" w:hanging="219"/>
              <w:jc w:val="left"/>
              <w:rPr>
                <w:rFonts w:ascii="Arial" w:eastAsia="Arial" w:hAnsi="Arial" w:cs="Arial"/>
                <w:color w:val="000000"/>
              </w:rPr>
            </w:pPr>
            <w:r w:rsidRPr="00244526">
              <w:rPr>
                <w:rFonts w:ascii="Arial" w:eastAsia="Arial" w:hAnsi="Arial" w:cs="Arial"/>
                <w:color w:val="000000"/>
              </w:rPr>
              <w:t>Analyse terrain.</w:t>
            </w:r>
          </w:p>
          <w:p w14:paraId="5095C240" w14:textId="77777777" w:rsidR="00BB7DC6" w:rsidRPr="00244526" w:rsidRDefault="00493B7C" w:rsidP="00244526">
            <w:pPr>
              <w:numPr>
                <w:ilvl w:val="0"/>
                <w:numId w:val="1"/>
              </w:numPr>
              <w:spacing w:before="200" w:after="200"/>
              <w:ind w:left="172" w:hanging="219"/>
              <w:jc w:val="left"/>
              <w:rPr>
                <w:rFonts w:ascii="Arial" w:eastAsia="Arial" w:hAnsi="Arial" w:cs="Arial"/>
              </w:rPr>
            </w:pPr>
            <w:r w:rsidRPr="00244526">
              <w:rPr>
                <w:rFonts w:ascii="Arial" w:eastAsia="Arial" w:hAnsi="Arial" w:cs="Arial"/>
                <w:color w:val="000000"/>
              </w:rPr>
              <w:t>Réalisation d’études de faisabilité et d’opportunités.</w:t>
            </w:r>
          </w:p>
        </w:tc>
      </w:tr>
      <w:tr w:rsidR="00BB7DC6" w14:paraId="6B983DDD" w14:textId="77777777" w:rsidTr="00244526">
        <w:trPr>
          <w:trHeight w:val="838"/>
        </w:trPr>
        <w:tc>
          <w:tcPr>
            <w:tcW w:w="2127" w:type="dxa"/>
          </w:tcPr>
          <w:p w14:paraId="5BFD5551" w14:textId="77777777" w:rsidR="00BB7DC6" w:rsidRPr="00244526" w:rsidRDefault="00493B7C">
            <w:pPr>
              <w:spacing w:before="200" w:after="200"/>
              <w:ind w:left="-45"/>
              <w:jc w:val="left"/>
              <w:rPr>
                <w:rFonts w:ascii="Arial" w:eastAsia="Arial" w:hAnsi="Arial" w:cs="Arial"/>
              </w:rPr>
            </w:pPr>
            <w:r w:rsidRPr="00244526">
              <w:rPr>
                <w:rFonts w:ascii="Arial" w:eastAsia="Arial" w:hAnsi="Arial" w:cs="Arial"/>
                <w:highlight w:val="white"/>
              </w:rPr>
              <w:t>1 à 2 représentants</w:t>
            </w:r>
          </w:p>
        </w:tc>
        <w:tc>
          <w:tcPr>
            <w:tcW w:w="3543" w:type="dxa"/>
          </w:tcPr>
          <w:p w14:paraId="20BEF558" w14:textId="77777777" w:rsidR="00BB7DC6" w:rsidRPr="00244526" w:rsidRDefault="00493B7C">
            <w:pPr>
              <w:spacing w:before="200" w:after="200"/>
              <w:ind w:left="-45"/>
              <w:jc w:val="left"/>
              <w:rPr>
                <w:rFonts w:ascii="Arial" w:eastAsia="Arial" w:hAnsi="Arial" w:cs="Arial"/>
              </w:rPr>
            </w:pPr>
            <w:r w:rsidRPr="00244526">
              <w:rPr>
                <w:rFonts w:ascii="Arial" w:eastAsia="Arial" w:hAnsi="Arial" w:cs="Arial"/>
                <w:highlight w:val="white"/>
              </w:rPr>
              <w:t xml:space="preserve">Associations sectorielles concernées par les orientations, les objectifs et les actions de la FDR (p. ex. association de la construction, chambres de commerce, </w:t>
            </w:r>
            <w:r w:rsidRPr="00244526">
              <w:rPr>
                <w:rFonts w:ascii="Arial" w:eastAsia="Arial" w:hAnsi="Arial" w:cs="Arial"/>
              </w:rPr>
              <w:t>t</w:t>
            </w:r>
            <w:r w:rsidRPr="00244526">
              <w:rPr>
                <w:rFonts w:ascii="Arial" w:eastAsia="Arial" w:hAnsi="Arial" w:cs="Arial"/>
                <w:highlight w:val="white"/>
              </w:rPr>
              <w:t>able agroalimentaire</w:t>
            </w:r>
            <w:r w:rsidRPr="00244526">
              <w:rPr>
                <w:rFonts w:ascii="Arial" w:eastAsia="Arial" w:hAnsi="Arial" w:cs="Arial"/>
              </w:rPr>
              <w:t>).</w:t>
            </w:r>
          </w:p>
        </w:tc>
        <w:tc>
          <w:tcPr>
            <w:tcW w:w="3828" w:type="dxa"/>
          </w:tcPr>
          <w:p w14:paraId="58D7008B" w14:textId="77777777" w:rsidR="00BB7DC6" w:rsidRPr="00244526" w:rsidRDefault="00493B7C">
            <w:pPr>
              <w:spacing w:before="200" w:after="200"/>
              <w:ind w:left="-47"/>
              <w:jc w:val="left"/>
              <w:rPr>
                <w:rFonts w:ascii="Arial" w:eastAsia="Arial" w:hAnsi="Arial" w:cs="Arial"/>
              </w:rPr>
            </w:pPr>
            <w:r w:rsidRPr="00244526">
              <w:rPr>
                <w:rFonts w:ascii="Arial" w:eastAsia="Arial" w:hAnsi="Arial" w:cs="Arial"/>
              </w:rPr>
              <w:t>Mettre en contact avec des organisations membres par :</w:t>
            </w:r>
          </w:p>
          <w:p w14:paraId="4B3CAA97" w14:textId="77777777" w:rsidR="00BB7DC6" w:rsidRPr="00244526" w:rsidRDefault="00493B7C">
            <w:pPr>
              <w:numPr>
                <w:ilvl w:val="0"/>
                <w:numId w:val="1"/>
              </w:numPr>
              <w:pBdr>
                <w:top w:val="nil"/>
                <w:left w:val="nil"/>
                <w:bottom w:val="nil"/>
                <w:right w:val="nil"/>
                <w:between w:val="nil"/>
              </w:pBdr>
              <w:spacing w:before="200" w:after="200"/>
              <w:ind w:left="172" w:hanging="219"/>
              <w:jc w:val="left"/>
              <w:rPr>
                <w:rFonts w:ascii="Arial" w:eastAsia="Arial" w:hAnsi="Arial" w:cs="Arial"/>
                <w:color w:val="000000"/>
              </w:rPr>
            </w:pPr>
            <w:r w:rsidRPr="00244526">
              <w:rPr>
                <w:rFonts w:ascii="Arial" w:eastAsia="Arial" w:hAnsi="Arial" w:cs="Arial"/>
                <w:color w:val="000000"/>
              </w:rPr>
              <w:t>Mobilisation et sensibilisation auprès de leurs réseaux.</w:t>
            </w:r>
          </w:p>
          <w:p w14:paraId="71693161" w14:textId="77777777" w:rsidR="00BB7DC6" w:rsidRPr="00244526" w:rsidRDefault="00493B7C">
            <w:pPr>
              <w:numPr>
                <w:ilvl w:val="0"/>
                <w:numId w:val="2"/>
              </w:numPr>
              <w:spacing w:before="200" w:after="200"/>
              <w:ind w:left="141" w:hanging="150"/>
              <w:jc w:val="left"/>
              <w:rPr>
                <w:rFonts w:ascii="Arial" w:eastAsia="Arial" w:hAnsi="Arial" w:cs="Arial"/>
              </w:rPr>
            </w:pPr>
            <w:r w:rsidRPr="00244526">
              <w:rPr>
                <w:rFonts w:ascii="Arial" w:eastAsia="Arial" w:hAnsi="Arial" w:cs="Arial"/>
              </w:rPr>
              <w:t>Promotion des initiatives dans la région et à l’extérieur.</w:t>
            </w:r>
          </w:p>
        </w:tc>
      </w:tr>
    </w:tbl>
    <w:p w14:paraId="6D2F78E1" w14:textId="77777777" w:rsidR="00BB7DC6" w:rsidRDefault="00493B7C" w:rsidP="00244526">
      <w:pPr>
        <w:pStyle w:val="Titrejaune"/>
      </w:pPr>
      <w:r>
        <w:lastRenderedPageBreak/>
        <w:t>RÉFÉRENCE</w:t>
      </w:r>
    </w:p>
    <w:p w14:paraId="513D38A3" w14:textId="77777777" w:rsidR="00BB7DC6" w:rsidRPr="00244526" w:rsidRDefault="00BB7DC6">
      <w:pPr>
        <w:rPr>
          <w:b/>
        </w:rPr>
      </w:pPr>
    </w:p>
    <w:p w14:paraId="34B2AA72" w14:textId="77777777" w:rsidR="00BB7DC6" w:rsidRPr="00244526" w:rsidRDefault="00493B7C">
      <w:r w:rsidRPr="00244526">
        <w:rPr>
          <w:b/>
        </w:rPr>
        <w:t>COMITÉ SECTORIEL DE MAIN-D’ŒUVRE DE L’ÉCONOMIE SOCIALE ET DE L’ACTION COMMUNAUTAIRE</w:t>
      </w:r>
      <w:r w:rsidRPr="00244526">
        <w:t>. (</w:t>
      </w:r>
      <w:proofErr w:type="gramStart"/>
      <w:r w:rsidRPr="00244526">
        <w:t>s.</w:t>
      </w:r>
      <w:proofErr w:type="gramEnd"/>
      <w:r w:rsidRPr="00244526">
        <w:t xml:space="preserve"> d.) </w:t>
      </w:r>
      <w:r w:rsidRPr="00244526">
        <w:rPr>
          <w:i/>
        </w:rPr>
        <w:t>Boîte à outils : Gouvernance démocratique – OBNL.</w:t>
      </w:r>
    </w:p>
    <w:p w14:paraId="45419A1A" w14:textId="77777777" w:rsidR="00BB7DC6" w:rsidRPr="00244526" w:rsidRDefault="00493B7C">
      <w:pPr>
        <w:rPr>
          <w:color w:val="F2CC26"/>
        </w:rPr>
      </w:pPr>
      <w:r w:rsidRPr="00244526">
        <w:rPr>
          <w:color w:val="F2CC26"/>
        </w:rPr>
        <w:t>www.csmoesac.qc.ca/outils-et-publications/gouvernance-democratique-obnl</w:t>
      </w:r>
    </w:p>
    <w:sectPr w:rsidR="00BB7DC6" w:rsidRPr="00244526" w:rsidSect="0085715B">
      <w:headerReference w:type="even" r:id="rId12"/>
      <w:headerReference w:type="default" r:id="rId13"/>
      <w:footerReference w:type="even" r:id="rId14"/>
      <w:footerReference w:type="default" r:id="rId15"/>
      <w:headerReference w:type="first" r:id="rId16"/>
      <w:footerReference w:type="first" r:id="rId17"/>
      <w:pgSz w:w="12242" w:h="15842" w:code="1"/>
      <w:pgMar w:top="1134" w:right="1701" w:bottom="170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9C6E" w14:textId="77777777" w:rsidR="008852F8" w:rsidRDefault="008852F8">
      <w:pPr>
        <w:spacing w:line="240" w:lineRule="auto"/>
      </w:pPr>
      <w:r>
        <w:separator/>
      </w:r>
    </w:p>
  </w:endnote>
  <w:endnote w:type="continuationSeparator" w:id="0">
    <w:p w14:paraId="5F2B0979" w14:textId="77777777" w:rsidR="008852F8" w:rsidRDefault="00885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5CFC949D" w14:textId="77777777" w:rsidR="0085715B" w:rsidRDefault="0085715B" w:rsidP="00C0701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0DE3CB3" w14:textId="77777777" w:rsidR="0085715B" w:rsidRDefault="0085715B" w:rsidP="00274BF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441069FB" w14:textId="77777777" w:rsidR="0085715B" w:rsidRDefault="0085715B">
        <w:r>
          <w:rPr>
            <w:b/>
            <w:noProof/>
            <w:spacing w:val="-24"/>
            <w:sz w:val="40"/>
            <w:szCs w:val="40"/>
          </w:rPr>
          <w:drawing>
            <wp:anchor distT="0" distB="0" distL="114300" distR="114300" simplePos="0" relativeHeight="251659264" behindDoc="0" locked="0" layoutInCell="1" allowOverlap="1" wp14:anchorId="0923553C" wp14:editId="2B899AAB">
              <wp:simplePos x="0" y="0"/>
              <wp:positionH relativeFrom="column">
                <wp:posOffset>6350</wp:posOffset>
              </wp:positionH>
              <wp:positionV relativeFrom="paragraph">
                <wp:posOffset>127231</wp:posOffset>
              </wp:positionV>
              <wp:extent cx="484910" cy="4849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4BE9474" w14:textId="77777777" w:rsidR="0085715B" w:rsidRDefault="008571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B4A2" w14:textId="00EC4AF6" w:rsidR="0085715B" w:rsidRPr="00696029" w:rsidRDefault="0085715B" w:rsidP="00F22B0F">
    <w:pPr>
      <w:pBdr>
        <w:top w:val="nil"/>
        <w:left w:val="nil"/>
        <w:bottom w:val="nil"/>
        <w:right w:val="nil"/>
        <w:between w:val="nil"/>
      </w:pBdr>
      <w:tabs>
        <w:tab w:val="center" w:pos="4320"/>
        <w:tab w:val="right" w:pos="8640"/>
      </w:tabs>
      <w:rPr>
        <w:b/>
        <w:color w:val="F2CC26"/>
        <w:sz w:val="18"/>
        <w:szCs w:val="18"/>
      </w:rPr>
    </w:pPr>
    <w:r w:rsidRPr="00696029">
      <w:rPr>
        <w:b/>
        <w:color w:val="F2CC26"/>
        <w:sz w:val="18"/>
        <w:szCs w:val="18"/>
      </w:rPr>
      <w:t xml:space="preserve">Outil </w:t>
    </w:r>
    <w:r>
      <w:rPr>
        <w:b/>
        <w:color w:val="F2CC26"/>
        <w:sz w:val="18"/>
        <w:szCs w:val="18"/>
      </w:rPr>
      <w:t>3</w:t>
    </w:r>
    <w:r w:rsidRPr="00696029">
      <w:rPr>
        <w:b/>
        <w:color w:val="F2CC26"/>
        <w:sz w:val="18"/>
        <w:szCs w:val="18"/>
      </w:rPr>
      <w:t>.</w:t>
    </w:r>
    <w:r>
      <w:rPr>
        <w:b/>
        <w:color w:val="F2CC26"/>
        <w:sz w:val="18"/>
        <w:szCs w:val="18"/>
      </w:rPr>
      <w:t>2</w:t>
    </w:r>
    <w:r w:rsidRPr="00696029">
      <w:rPr>
        <w:b/>
        <w:color w:val="F2CC26"/>
        <w:sz w:val="18"/>
        <w:szCs w:val="18"/>
      </w:rPr>
      <w:t xml:space="preserve"> – </w:t>
    </w:r>
    <w:r>
      <w:rPr>
        <w:b/>
        <w:color w:val="F2CC26"/>
        <w:sz w:val="18"/>
        <w:szCs w:val="18"/>
      </w:rPr>
      <w:t>Création des Sous-comités techniques</w:t>
    </w:r>
  </w:p>
  <w:p w14:paraId="2BA1533D" w14:textId="4905C380" w:rsidR="0085715B" w:rsidRPr="001E01ED" w:rsidRDefault="0085715B" w:rsidP="00F22B0F">
    <w:pPr>
      <w:pBdr>
        <w:top w:val="nil"/>
        <w:left w:val="nil"/>
        <w:bottom w:val="nil"/>
        <w:right w:val="nil"/>
        <w:between w:val="nil"/>
      </w:pBdr>
      <w:tabs>
        <w:tab w:val="center" w:pos="4320"/>
        <w:tab w:val="right" w:pos="8640"/>
      </w:tabs>
      <w:rPr>
        <w:b/>
        <w:color w:val="000000" w:themeColor="text1"/>
        <w:sz w:val="18"/>
        <w:szCs w:val="18"/>
      </w:rPr>
    </w:pPr>
    <w:r w:rsidRPr="001E01ED">
      <w:rPr>
        <w:b/>
        <w:color w:val="000000" w:themeColor="text1"/>
        <w:sz w:val="18"/>
        <w:szCs w:val="18"/>
      </w:rPr>
      <w:t xml:space="preserve">Activité </w:t>
    </w:r>
    <w:r>
      <w:rPr>
        <w:b/>
        <w:color w:val="000000" w:themeColor="text1"/>
        <w:sz w:val="18"/>
        <w:szCs w:val="18"/>
      </w:rPr>
      <w:t>3</w:t>
    </w:r>
    <w:r w:rsidRPr="001E01ED">
      <w:rPr>
        <w:b/>
        <w:color w:val="000000" w:themeColor="text1"/>
        <w:sz w:val="18"/>
        <w:szCs w:val="18"/>
      </w:rPr>
      <w:t>.</w:t>
    </w:r>
    <w:r>
      <w:rPr>
        <w:b/>
        <w:color w:val="000000" w:themeColor="text1"/>
        <w:sz w:val="18"/>
        <w:szCs w:val="18"/>
      </w:rPr>
      <w:t>2</w:t>
    </w:r>
    <w:r w:rsidRPr="001E01ED">
      <w:rPr>
        <w:b/>
        <w:color w:val="000000" w:themeColor="text1"/>
        <w:sz w:val="18"/>
        <w:szCs w:val="18"/>
      </w:rPr>
      <w:t xml:space="preserve"> – </w:t>
    </w:r>
    <w:r>
      <w:rPr>
        <w:b/>
        <w:color w:val="000000" w:themeColor="text1"/>
        <w:sz w:val="18"/>
        <w:szCs w:val="18"/>
      </w:rPr>
      <w:t>Créer et animer des Sous-comités techniques</w:t>
    </w:r>
  </w:p>
  <w:p w14:paraId="67032153" w14:textId="77777777" w:rsidR="0085715B" w:rsidRPr="006451CF" w:rsidRDefault="0085715B" w:rsidP="006451CF">
    <w:pPr>
      <w:spacing w:before="40"/>
      <w:rPr>
        <w:sz w:val="14"/>
        <w:szCs w:val="14"/>
      </w:rPr>
    </w:pPr>
    <w:r w:rsidRPr="006451CF">
      <w:rPr>
        <w:sz w:val="14"/>
        <w:szCs w:val="14"/>
      </w:rPr>
      <w:t>Outil produit par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FDD4" w14:textId="77777777" w:rsidR="00BB7DC6" w:rsidRDefault="00BB7DC6">
    <w:pPr>
      <w:pBdr>
        <w:top w:val="nil"/>
        <w:left w:val="nil"/>
        <w:bottom w:val="nil"/>
        <w:right w:val="nil"/>
        <w:between w:val="nil"/>
      </w:pBdr>
      <w:tabs>
        <w:tab w:val="center" w:pos="4320"/>
        <w:tab w:val="right" w:pos="8640"/>
      </w:tabs>
      <w:spacing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E1D3" w14:textId="3B2A4CD0" w:rsidR="0085715B" w:rsidRPr="00FE43F8" w:rsidRDefault="0085715B" w:rsidP="0085715B">
    <w:pPr>
      <w:pBdr>
        <w:top w:val="nil"/>
        <w:left w:val="nil"/>
        <w:bottom w:val="nil"/>
        <w:right w:val="nil"/>
        <w:between w:val="nil"/>
      </w:pBdr>
      <w:tabs>
        <w:tab w:val="center" w:pos="4320"/>
        <w:tab w:val="right" w:pos="8640"/>
      </w:tabs>
      <w:spacing w:line="240" w:lineRule="auto"/>
      <w:rPr>
        <w:b/>
        <w:color w:val="F2CC26"/>
        <w:sz w:val="16"/>
        <w:szCs w:val="16"/>
      </w:rPr>
    </w:pPr>
    <w:r w:rsidRPr="00FE43F8">
      <w:rPr>
        <w:b/>
        <w:color w:val="F2CC26"/>
        <w:sz w:val="16"/>
        <w:szCs w:val="16"/>
      </w:rPr>
      <w:t xml:space="preserve">Outil </w:t>
    </w:r>
    <w:r>
      <w:rPr>
        <w:b/>
        <w:color w:val="F2CC26"/>
        <w:sz w:val="16"/>
        <w:szCs w:val="16"/>
      </w:rPr>
      <w:t>3</w:t>
    </w:r>
    <w:r w:rsidRPr="00FE43F8">
      <w:rPr>
        <w:b/>
        <w:color w:val="F2CC26"/>
        <w:sz w:val="16"/>
        <w:szCs w:val="16"/>
      </w:rPr>
      <w:t>.</w:t>
    </w:r>
    <w:r>
      <w:rPr>
        <w:b/>
        <w:color w:val="F2CC26"/>
        <w:sz w:val="16"/>
        <w:szCs w:val="16"/>
      </w:rPr>
      <w:t>2</w:t>
    </w:r>
    <w:r w:rsidRPr="00FE43F8">
      <w:rPr>
        <w:b/>
        <w:color w:val="F2CC26"/>
        <w:sz w:val="16"/>
        <w:szCs w:val="16"/>
      </w:rPr>
      <w:t xml:space="preserve"> – </w:t>
    </w:r>
    <w:r>
      <w:rPr>
        <w:b/>
        <w:color w:val="F2CC26"/>
        <w:sz w:val="16"/>
        <w:szCs w:val="16"/>
      </w:rPr>
      <w:t>Création des Sous-comités techniques</w:t>
    </w:r>
  </w:p>
  <w:p w14:paraId="3D630E01" w14:textId="3FD5E460" w:rsidR="0085715B" w:rsidRDefault="0085715B" w:rsidP="0085715B">
    <w:pPr>
      <w:rPr>
        <w:color w:val="262626"/>
        <w:sz w:val="16"/>
        <w:szCs w:val="16"/>
      </w:rPr>
    </w:pPr>
    <w:r>
      <w:rPr>
        <w:color w:val="262626"/>
        <w:sz w:val="16"/>
        <w:szCs w:val="16"/>
      </w:rPr>
      <w:t>Activité 3.2 – Créer et animer des Sous-comités techniques</w:t>
    </w:r>
  </w:p>
  <w:p w14:paraId="0BA715E3" w14:textId="38889201" w:rsidR="006451CF" w:rsidRPr="006451CF" w:rsidRDefault="006451CF" w:rsidP="006451CF">
    <w:pPr>
      <w:spacing w:before="40"/>
      <w:rPr>
        <w:sz w:val="14"/>
        <w:szCs w:val="14"/>
        <w:lang w:val="fr-FR"/>
      </w:rPr>
    </w:pPr>
    <w:r>
      <w:rPr>
        <w:sz w:val="14"/>
        <w:szCs w:val="14"/>
        <w:lang w:val="fr-FR"/>
      </w:rPr>
      <w:t>Outil produit par RECYC-QUÉBEC, 2022</w:t>
    </w:r>
  </w:p>
  <w:p w14:paraId="0741227E" w14:textId="427D511B" w:rsidR="00BB7DC6" w:rsidRPr="0085715B" w:rsidRDefault="0085715B" w:rsidP="00244526">
    <w:pPr>
      <w:pBdr>
        <w:top w:val="nil"/>
        <w:left w:val="nil"/>
        <w:bottom w:val="nil"/>
        <w:right w:val="nil"/>
        <w:between w:val="nil"/>
      </w:pBdr>
      <w:tabs>
        <w:tab w:val="center" w:pos="4320"/>
        <w:tab w:val="right" w:pos="8640"/>
      </w:tabs>
      <w:ind w:right="-91"/>
      <w:jc w:val="right"/>
      <w:rPr>
        <w:color w:val="262626"/>
      </w:rPr>
    </w:pPr>
    <w:r>
      <w:rPr>
        <w:color w:val="262626"/>
      </w:rPr>
      <w:fldChar w:fldCharType="begin"/>
    </w:r>
    <w:r>
      <w:rPr>
        <w:color w:val="262626"/>
      </w:rPr>
      <w:instrText>PAGE</w:instrText>
    </w:r>
    <w:r>
      <w:rPr>
        <w:color w:val="262626"/>
      </w:rPr>
      <w:fldChar w:fldCharType="separate"/>
    </w:r>
    <w:r>
      <w:rPr>
        <w:color w:val="262626"/>
      </w:rPr>
      <w:t>1</w:t>
    </w:r>
    <w:r>
      <w:rPr>
        <w:color w:val="2626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C1D3" w14:textId="77777777" w:rsidR="00BB7DC6" w:rsidRDefault="00BB7DC6">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AEA4" w14:textId="77777777" w:rsidR="008852F8" w:rsidRDefault="008852F8">
      <w:pPr>
        <w:spacing w:line="240" w:lineRule="auto"/>
      </w:pPr>
      <w:r>
        <w:separator/>
      </w:r>
    </w:p>
  </w:footnote>
  <w:footnote w:type="continuationSeparator" w:id="0">
    <w:p w14:paraId="4C6C00EF" w14:textId="77777777" w:rsidR="008852F8" w:rsidRDefault="008852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4107" w14:textId="77777777" w:rsidR="00BB7DC6" w:rsidRDefault="00BB7DC6">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CBA7" w14:textId="722F4AF5" w:rsidR="00BB7DC6" w:rsidRDefault="00BB7DC6">
    <w:pPr>
      <w:pBdr>
        <w:top w:val="nil"/>
        <w:left w:val="nil"/>
        <w:bottom w:val="nil"/>
        <w:right w:val="nil"/>
        <w:between w:val="nil"/>
      </w:pBdr>
      <w:tabs>
        <w:tab w:val="center" w:pos="4320"/>
        <w:tab w:val="right" w:pos="8640"/>
      </w:tabs>
      <w:spacing w:line="240" w:lineRule="auto"/>
      <w:rPr>
        <w:color w:val="000000"/>
      </w:rPr>
    </w:pPr>
  </w:p>
  <w:p w14:paraId="7455C318" w14:textId="77777777" w:rsidR="00BB7DC6" w:rsidRDefault="00BB7DC6">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4127" w14:textId="77777777" w:rsidR="00BB7DC6" w:rsidRDefault="00BB7DC6">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1E03"/>
    <w:multiLevelType w:val="multilevel"/>
    <w:tmpl w:val="17744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E6224C"/>
    <w:multiLevelType w:val="multilevel"/>
    <w:tmpl w:val="EC9E1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240027"/>
    <w:multiLevelType w:val="multilevel"/>
    <w:tmpl w:val="079EA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C2503E"/>
    <w:multiLevelType w:val="multilevel"/>
    <w:tmpl w:val="5E44B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D076DC"/>
    <w:multiLevelType w:val="multilevel"/>
    <w:tmpl w:val="50621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930015"/>
    <w:multiLevelType w:val="multilevel"/>
    <w:tmpl w:val="AA6ED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1917702">
    <w:abstractNumId w:val="0"/>
  </w:num>
  <w:num w:numId="2" w16cid:durableId="764150962">
    <w:abstractNumId w:val="2"/>
  </w:num>
  <w:num w:numId="3" w16cid:durableId="1861896871">
    <w:abstractNumId w:val="3"/>
  </w:num>
  <w:num w:numId="4" w16cid:durableId="1190413412">
    <w:abstractNumId w:val="1"/>
  </w:num>
  <w:num w:numId="5" w16cid:durableId="1729918426">
    <w:abstractNumId w:val="4"/>
  </w:num>
  <w:num w:numId="6" w16cid:durableId="394402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C6"/>
    <w:rsid w:val="00244526"/>
    <w:rsid w:val="00414FD6"/>
    <w:rsid w:val="00493B7C"/>
    <w:rsid w:val="00503692"/>
    <w:rsid w:val="005547EA"/>
    <w:rsid w:val="00557084"/>
    <w:rsid w:val="006451CF"/>
    <w:rsid w:val="00785691"/>
    <w:rsid w:val="00795D37"/>
    <w:rsid w:val="0085715B"/>
    <w:rsid w:val="008852F8"/>
    <w:rsid w:val="00895999"/>
    <w:rsid w:val="008F1F4F"/>
    <w:rsid w:val="00BB7DC6"/>
    <w:rsid w:val="00E37F51"/>
    <w:rsid w:val="00FF68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9F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5B"/>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12FD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2FD0"/>
    <w:rPr>
      <w:rFonts w:ascii="Segoe UI" w:hAnsi="Segoe UI" w:cs="Segoe UI"/>
      <w:sz w:val="18"/>
      <w:szCs w:val="18"/>
    </w:rPr>
  </w:style>
  <w:style w:type="paragraph" w:styleId="En-tte">
    <w:name w:val="header"/>
    <w:basedOn w:val="Normal"/>
    <w:link w:val="En-tteCar"/>
    <w:uiPriority w:val="99"/>
    <w:unhideWhenUsed/>
    <w:rsid w:val="00112FD0"/>
    <w:pPr>
      <w:tabs>
        <w:tab w:val="center" w:pos="4320"/>
        <w:tab w:val="right" w:pos="8640"/>
      </w:tabs>
      <w:spacing w:line="240" w:lineRule="auto"/>
    </w:pPr>
  </w:style>
  <w:style w:type="character" w:customStyle="1" w:styleId="En-tteCar">
    <w:name w:val="En-tête Car"/>
    <w:basedOn w:val="Policepardfaut"/>
    <w:link w:val="En-tte"/>
    <w:uiPriority w:val="99"/>
    <w:rsid w:val="00112FD0"/>
  </w:style>
  <w:style w:type="paragraph" w:styleId="Pieddepage">
    <w:name w:val="footer"/>
    <w:basedOn w:val="Normal"/>
    <w:link w:val="PieddepageCar"/>
    <w:uiPriority w:val="99"/>
    <w:unhideWhenUsed/>
    <w:rsid w:val="00112FD0"/>
    <w:pPr>
      <w:tabs>
        <w:tab w:val="center" w:pos="4320"/>
        <w:tab w:val="right" w:pos="8640"/>
      </w:tabs>
      <w:spacing w:line="240" w:lineRule="auto"/>
    </w:pPr>
  </w:style>
  <w:style w:type="character" w:customStyle="1" w:styleId="PieddepageCar">
    <w:name w:val="Pied de page Car"/>
    <w:basedOn w:val="Policepardfaut"/>
    <w:link w:val="Pieddepage"/>
    <w:uiPriority w:val="99"/>
    <w:rsid w:val="00112FD0"/>
  </w:style>
  <w:style w:type="table" w:styleId="Grilledutableau">
    <w:name w:val="Table Grid"/>
    <w:basedOn w:val="TableauNormal"/>
    <w:uiPriority w:val="39"/>
    <w:rsid w:val="00112FD0"/>
    <w:pPr>
      <w:spacing w:line="240" w:lineRule="auto"/>
      <w:jc w:val="both"/>
    </w:pPr>
    <w:rPr>
      <w:rFonts w:ascii="Lato" w:eastAsia="Lato" w:hAnsi="Lato" w:cs="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12FD0"/>
    <w:pPr>
      <w:ind w:left="720"/>
      <w:contextualSpacing/>
    </w:pPr>
  </w:style>
  <w:style w:type="paragraph" w:styleId="Objetducommentaire">
    <w:name w:val="annotation subject"/>
    <w:basedOn w:val="Commentaire"/>
    <w:next w:val="Commentaire"/>
    <w:link w:val="ObjetducommentaireCar"/>
    <w:uiPriority w:val="99"/>
    <w:semiHidden/>
    <w:unhideWhenUsed/>
    <w:rsid w:val="00112FD0"/>
    <w:rPr>
      <w:b/>
      <w:bCs/>
    </w:rPr>
  </w:style>
  <w:style w:type="character" w:customStyle="1" w:styleId="ObjetducommentaireCar">
    <w:name w:val="Objet du commentaire Car"/>
    <w:basedOn w:val="CommentaireCar"/>
    <w:link w:val="Objetducommentaire"/>
    <w:uiPriority w:val="99"/>
    <w:semiHidden/>
    <w:rsid w:val="00112FD0"/>
    <w:rPr>
      <w:b/>
      <w:bCs/>
      <w:sz w:val="20"/>
      <w:szCs w:val="20"/>
    </w:rPr>
  </w:style>
  <w:style w:type="character" w:styleId="Textedelespacerserv">
    <w:name w:val="Placeholder Text"/>
    <w:basedOn w:val="Policepardfaut"/>
    <w:uiPriority w:val="99"/>
    <w:semiHidden/>
    <w:rsid w:val="00112FD0"/>
    <w:rPr>
      <w:color w:val="808080"/>
    </w:rPr>
  </w:style>
  <w:style w:type="character" w:styleId="Lienhypertexte">
    <w:name w:val="Hyperlink"/>
    <w:basedOn w:val="Policepardfaut"/>
    <w:uiPriority w:val="99"/>
    <w:unhideWhenUsed/>
    <w:rsid w:val="00112FD0"/>
    <w:rPr>
      <w:color w:val="0000FF" w:themeColor="hyperlink"/>
      <w:u w:val="single"/>
    </w:rPr>
  </w:style>
  <w:style w:type="character" w:customStyle="1" w:styleId="normaltextrun">
    <w:name w:val="normaltextrun"/>
    <w:basedOn w:val="Policepardfaut"/>
    <w:rsid w:val="00842A89"/>
  </w:style>
  <w:style w:type="character" w:customStyle="1" w:styleId="Mentionnonrsolue1">
    <w:name w:val="Mention non résolue1"/>
    <w:basedOn w:val="Policepardfaut"/>
    <w:uiPriority w:val="99"/>
    <w:semiHidden/>
    <w:unhideWhenUsed/>
    <w:rsid w:val="000D7D83"/>
    <w:rPr>
      <w:color w:val="605E5C"/>
      <w:shd w:val="clear" w:color="auto" w:fill="E1DFDD"/>
    </w:rPr>
  </w:style>
  <w:style w:type="table" w:customStyle="1" w:styleId="a2">
    <w:basedOn w:val="TableNormal3"/>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3">
    <w:basedOn w:val="TableNormal3"/>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paragraph" w:styleId="Rvision">
    <w:name w:val="Revision"/>
    <w:hidden/>
    <w:uiPriority w:val="99"/>
    <w:semiHidden/>
    <w:rsid w:val="009A1167"/>
    <w:pPr>
      <w:spacing w:line="240" w:lineRule="auto"/>
    </w:pPr>
  </w:style>
  <w:style w:type="paragraph" w:styleId="Corpsdetexte2">
    <w:name w:val="Body Text 2"/>
    <w:basedOn w:val="Normal"/>
    <w:link w:val="Corpsdetexte2Car"/>
    <w:uiPriority w:val="99"/>
    <w:unhideWhenUsed/>
    <w:rsid w:val="006D3670"/>
    <w:pPr>
      <w:spacing w:after="120" w:line="480" w:lineRule="auto"/>
    </w:pPr>
  </w:style>
  <w:style w:type="character" w:customStyle="1" w:styleId="Corpsdetexte2Car">
    <w:name w:val="Corps de texte 2 Car"/>
    <w:basedOn w:val="Policepardfaut"/>
    <w:link w:val="Corpsdetexte2"/>
    <w:uiPriority w:val="99"/>
    <w:rsid w:val="006D3670"/>
  </w:style>
  <w:style w:type="table" w:customStyle="1" w:styleId="a6">
    <w:basedOn w:val="TableNormal2"/>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7">
    <w:basedOn w:val="TableNormal2"/>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8">
    <w:basedOn w:val="TableNormal2"/>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9">
    <w:basedOn w:val="TableNormal2"/>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a">
    <w:basedOn w:val="TableNormal1"/>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b">
    <w:basedOn w:val="TableNormal1"/>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c">
    <w:basedOn w:val="TableNormal1"/>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d">
    <w:basedOn w:val="TableNormal0"/>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e">
    <w:basedOn w:val="TableNormal0"/>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table" w:customStyle="1" w:styleId="af">
    <w:basedOn w:val="TableNormal0"/>
    <w:pPr>
      <w:spacing w:line="240" w:lineRule="auto"/>
      <w:jc w:val="both"/>
    </w:pPr>
    <w:rPr>
      <w:rFonts w:ascii="Lato" w:eastAsia="Lato" w:hAnsi="Lato" w:cs="Lato"/>
      <w:sz w:val="20"/>
      <w:szCs w:val="20"/>
    </w:rPr>
    <w:tblPr>
      <w:tblStyleRowBandSize w:val="1"/>
      <w:tblStyleColBandSize w:val="1"/>
      <w:tblCellMar>
        <w:top w:w="100" w:type="dxa"/>
        <w:left w:w="115" w:type="dxa"/>
        <w:bottom w:w="100" w:type="dxa"/>
        <w:right w:w="115" w:type="dxa"/>
      </w:tblCellMar>
    </w:tblPr>
  </w:style>
  <w:style w:type="paragraph" w:customStyle="1" w:styleId="tape-Titre">
    <w:name w:val="Étape - Titre"/>
    <w:basedOn w:val="Normal"/>
    <w:qFormat/>
    <w:rsid w:val="0085715B"/>
    <w:pPr>
      <w:widowControl w:val="0"/>
      <w:autoSpaceDE w:val="0"/>
      <w:autoSpaceDN w:val="0"/>
      <w:spacing w:line="240" w:lineRule="auto"/>
    </w:pPr>
    <w:rPr>
      <w:b/>
      <w:bCs/>
      <w:color w:val="FFFFFF" w:themeColor="background1"/>
      <w:spacing w:val="-24"/>
      <w:sz w:val="40"/>
      <w:szCs w:val="40"/>
      <w:lang w:val="fr-FR" w:eastAsia="en-US"/>
    </w:rPr>
  </w:style>
  <w:style w:type="paragraph" w:customStyle="1" w:styleId="Titrecouverture">
    <w:name w:val="Titre_couverture"/>
    <w:basedOn w:val="Normal"/>
    <w:qFormat/>
    <w:rsid w:val="0085715B"/>
    <w:pPr>
      <w:widowControl w:val="0"/>
      <w:autoSpaceDE w:val="0"/>
      <w:autoSpaceDN w:val="0"/>
      <w:spacing w:before="840" w:after="840" w:line="240" w:lineRule="auto"/>
    </w:pPr>
    <w:rPr>
      <w:b/>
      <w:bCs/>
      <w:color w:val="FFFFFF" w:themeColor="background1"/>
      <w:sz w:val="72"/>
      <w:szCs w:val="72"/>
      <w:lang w:val="fr-FR" w:eastAsia="en-US"/>
    </w:rPr>
  </w:style>
  <w:style w:type="paragraph" w:customStyle="1" w:styleId="Activitetsous-activit-Titre">
    <w:name w:val="Activité et sous-activité - Titre"/>
    <w:basedOn w:val="Normal"/>
    <w:qFormat/>
    <w:rsid w:val="0085715B"/>
    <w:pPr>
      <w:widowControl w:val="0"/>
      <w:autoSpaceDE w:val="0"/>
      <w:autoSpaceDN w:val="0"/>
      <w:spacing w:after="360" w:line="240" w:lineRule="auto"/>
    </w:pPr>
    <w:rPr>
      <w:b/>
      <w:bCs/>
      <w:color w:val="FFFFFF" w:themeColor="background1"/>
      <w:sz w:val="40"/>
      <w:szCs w:val="40"/>
      <w:lang w:val="fr-FR" w:eastAsia="en-US"/>
    </w:rPr>
  </w:style>
  <w:style w:type="character" w:styleId="Numrodepage">
    <w:name w:val="page number"/>
    <w:basedOn w:val="Policepardfaut"/>
    <w:uiPriority w:val="99"/>
    <w:semiHidden/>
    <w:unhideWhenUsed/>
    <w:rsid w:val="0085715B"/>
  </w:style>
  <w:style w:type="paragraph" w:customStyle="1" w:styleId="Tableautitre">
    <w:name w:val="Tableau_titre"/>
    <w:basedOn w:val="Normal"/>
    <w:qFormat/>
    <w:rsid w:val="0085715B"/>
    <w:pPr>
      <w:widowControl w:val="0"/>
      <w:autoSpaceDE w:val="0"/>
      <w:autoSpaceDN w:val="0"/>
      <w:spacing w:line="240" w:lineRule="auto"/>
    </w:pPr>
    <w:rPr>
      <w:b/>
      <w:bCs/>
      <w:sz w:val="20"/>
      <w:szCs w:val="20"/>
      <w:lang w:val="fr-FR" w:eastAsia="en-US"/>
    </w:rPr>
  </w:style>
  <w:style w:type="paragraph" w:customStyle="1" w:styleId="Titrejaune">
    <w:name w:val="Titre_jaune"/>
    <w:basedOn w:val="Normal"/>
    <w:qFormat/>
    <w:rsid w:val="0085715B"/>
    <w:pPr>
      <w:widowControl w:val="0"/>
      <w:autoSpaceDE w:val="0"/>
      <w:autoSpaceDN w:val="0"/>
      <w:spacing w:line="240" w:lineRule="auto"/>
    </w:pPr>
    <w:rPr>
      <w:b/>
      <w:bCs/>
      <w:color w:val="F2CC26"/>
      <w:sz w:val="56"/>
      <w:szCs w:val="56"/>
      <w:lang w:val="fr-FR" w:eastAsia="en-US"/>
    </w:rPr>
  </w:style>
  <w:style w:type="paragraph" w:customStyle="1" w:styleId="TitreTab">
    <w:name w:val="Titre_Tab"/>
    <w:basedOn w:val="Normal"/>
    <w:link w:val="TitreTabCar"/>
    <w:qFormat/>
    <w:rsid w:val="00244526"/>
    <w:pPr>
      <w:spacing w:before="240" w:after="200"/>
    </w:pPr>
    <w:rPr>
      <w:b/>
      <w:bCs/>
      <w:color w:val="F2CC26"/>
      <w:sz w:val="36"/>
      <w:szCs w:val="36"/>
      <w:lang w:val="fr-FR" w:eastAsia="en-US"/>
    </w:rPr>
  </w:style>
  <w:style w:type="character" w:customStyle="1" w:styleId="TitreTabCar">
    <w:name w:val="Titre_Tab Car"/>
    <w:basedOn w:val="Policepardfaut"/>
    <w:link w:val="TitreTab"/>
    <w:rsid w:val="00244526"/>
    <w:rPr>
      <w:b/>
      <w:bCs/>
      <w:color w:val="F2CC26"/>
      <w:sz w:val="36"/>
      <w:szCs w:val="3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sSwfbFeq4h8VUAlu/GMK9bG8Q==">AMUW2mXpyyUAJDMUxyF7zrrIRZ5CLWHEbJU40pq5EDYVD0slYodgG74nkRJB0V5KfOXnkwf0f6s4uFqTkiIzqJfmmpbmjwYcaBkxsEW+HGTsP/AKCYcSNycbi9G+hKWI0no96ll4eufQ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3863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2022-05-04T19:38:00Z</dcterms:created>
  <dcterms:modified xsi:type="dcterms:W3CDTF">2022-06-07T21:18:00Z</dcterms:modified>
</cp:coreProperties>
</file>