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02136081"/>
    <w:bookmarkStart w:id="1" w:name="_Hlk102571741"/>
    <w:p w14:paraId="11B0E52E" w14:textId="77777777" w:rsidR="00696029" w:rsidRPr="00696029" w:rsidRDefault="00696029" w:rsidP="00696029">
      <w:r w:rsidRPr="00696029">
        <w:rPr>
          <w:b/>
          <w:noProof/>
          <w:spacing w:val="-24"/>
          <w:sz w:val="40"/>
          <w:szCs w:val="40"/>
        </w:rPr>
        <mc:AlternateContent>
          <mc:Choice Requires="wps">
            <w:drawing>
              <wp:anchor distT="0" distB="0" distL="114300" distR="114300" simplePos="0" relativeHeight="251659264" behindDoc="1" locked="0" layoutInCell="1" allowOverlap="1" wp14:anchorId="73E250B1" wp14:editId="78486652">
                <wp:simplePos x="0" y="0"/>
                <wp:positionH relativeFrom="page">
                  <wp:posOffset>-117695</wp:posOffset>
                </wp:positionH>
                <wp:positionV relativeFrom="paragraph">
                  <wp:posOffset>-1553009</wp:posOffset>
                </wp:positionV>
                <wp:extent cx="7992745" cy="9650994"/>
                <wp:effectExtent l="0" t="0" r="8255" b="7620"/>
                <wp:wrapNone/>
                <wp:docPr id="15" name="Rectangle 15"/>
                <wp:cNvGraphicFramePr/>
                <a:graphic xmlns:a="http://schemas.openxmlformats.org/drawingml/2006/main">
                  <a:graphicData uri="http://schemas.microsoft.com/office/word/2010/wordprocessingShape">
                    <wps:wsp>
                      <wps:cNvSpPr/>
                      <wps:spPr>
                        <a:xfrm>
                          <a:off x="0" y="0"/>
                          <a:ext cx="7992745" cy="9650994"/>
                        </a:xfrm>
                        <a:prstGeom prst="rect">
                          <a:avLst/>
                        </a:prstGeom>
                        <a:solidFill>
                          <a:srgbClr val="F2CC2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21516" id="Rectangle 15" o:spid="_x0000_s1026" style="position:absolute;margin-left:-9.25pt;margin-top:-122.3pt;width:629.35pt;height:759.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" fillcolor="#f2cc26" stroked="f" strokeweight="2pt">
                <w10:wrap anchorx="page"/>
              </v:rect>
            </w:pict>
          </mc:Fallback>
        </mc:AlternateContent>
      </w:r>
    </w:p>
    <w:p w14:paraId="4A54DE3E" w14:textId="77777777" w:rsidR="00696029" w:rsidRPr="00696029" w:rsidRDefault="00696029" w:rsidP="00696029">
      <w:pPr>
        <w:rPr>
          <w:sz w:val="72"/>
          <w:szCs w:val="72"/>
        </w:rPr>
      </w:pPr>
    </w:p>
    <w:p w14:paraId="34DEC3C5" w14:textId="6D4F64A8" w:rsidR="00696029" w:rsidRPr="00696029" w:rsidRDefault="00696029" w:rsidP="00696029">
      <w:pPr>
        <w:pStyle w:val="tape-Titre"/>
        <w:rPr>
          <w:color w:val="auto"/>
        </w:rPr>
      </w:pPr>
      <w:r w:rsidRPr="00696029">
        <w:rPr>
          <w:b w:val="0"/>
          <w:noProof/>
          <w:color w:val="auto"/>
        </w:rPr>
        <w:drawing>
          <wp:anchor distT="0" distB="0" distL="114300" distR="114300" simplePos="0" relativeHeight="251660288" behindDoc="0" locked="0" layoutInCell="1" allowOverlap="1" wp14:anchorId="17D8C7EC" wp14:editId="2C48B1C7">
            <wp:simplePos x="0" y="0"/>
            <wp:positionH relativeFrom="column">
              <wp:posOffset>3128010</wp:posOffset>
            </wp:positionH>
            <wp:positionV relativeFrom="paragraph">
              <wp:posOffset>5715</wp:posOffset>
            </wp:positionV>
            <wp:extent cx="612894" cy="500400"/>
            <wp:effectExtent l="0" t="0" r="0" b="0"/>
            <wp:wrapNone/>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894" cy="500400"/>
                    </a:xfrm>
                    <a:prstGeom prst="rect">
                      <a:avLst/>
                    </a:prstGeom>
                  </pic:spPr>
                </pic:pic>
              </a:graphicData>
            </a:graphic>
            <wp14:sizeRelH relativeFrom="margin">
              <wp14:pctWidth>0</wp14:pctWidth>
            </wp14:sizeRelH>
            <wp14:sizeRelV relativeFrom="margin">
              <wp14:pctHeight>0</wp14:pctHeight>
            </wp14:sizeRelV>
          </wp:anchor>
        </w:drawing>
      </w:r>
      <w:r w:rsidRPr="00696029">
        <w:rPr>
          <w:color w:val="auto"/>
        </w:rPr>
        <w:t xml:space="preserve">Étape </w:t>
      </w:r>
      <w:r w:rsidR="00191EE5">
        <w:rPr>
          <w:color w:val="auto"/>
        </w:rPr>
        <w:t>3</w:t>
      </w:r>
      <w:r w:rsidRPr="00696029">
        <w:rPr>
          <w:color w:val="auto"/>
        </w:rPr>
        <w:t xml:space="preserve"> – </w:t>
      </w:r>
      <w:r w:rsidR="00880811">
        <w:rPr>
          <w:color w:val="auto"/>
        </w:rPr>
        <w:t>Vision et objectifs</w:t>
      </w:r>
    </w:p>
    <w:p w14:paraId="61092ED6" w14:textId="1CE60EAD" w:rsidR="00696029" w:rsidRPr="00696029" w:rsidRDefault="00696029" w:rsidP="00696029">
      <w:pPr>
        <w:pStyle w:val="Titrecouverture"/>
        <w:rPr>
          <w:color w:val="auto"/>
        </w:rPr>
      </w:pPr>
      <w:r w:rsidRPr="00696029">
        <w:rPr>
          <w:color w:val="auto"/>
        </w:rPr>
        <w:t>Outil </w:t>
      </w:r>
      <w:r w:rsidR="00191EE5">
        <w:rPr>
          <w:color w:val="auto"/>
        </w:rPr>
        <w:t>3</w:t>
      </w:r>
      <w:r w:rsidRPr="00696029">
        <w:rPr>
          <w:color w:val="auto"/>
        </w:rPr>
        <w:t xml:space="preserve">.1 – </w:t>
      </w:r>
      <w:r w:rsidR="00191EE5">
        <w:rPr>
          <w:color w:val="auto"/>
        </w:rPr>
        <w:t>Aide</w:t>
      </w:r>
      <w:r w:rsidR="00191EE5">
        <w:rPr>
          <w:color w:val="auto"/>
        </w:rPr>
        <w:br/>
        <w:t>à la définition de la vision et des orientations stratégiques</w:t>
      </w:r>
    </w:p>
    <w:p w14:paraId="3856B284" w14:textId="7C49979C" w:rsidR="00696029" w:rsidRPr="00696029" w:rsidRDefault="00696029" w:rsidP="00696029">
      <w:pPr>
        <w:pStyle w:val="Activitetsous-activit-Titre"/>
        <w:rPr>
          <w:color w:val="auto"/>
        </w:rPr>
      </w:pPr>
      <w:r w:rsidRPr="00696029">
        <w:rPr>
          <w:color w:val="auto"/>
        </w:rPr>
        <w:t>Activité </w:t>
      </w:r>
      <w:r w:rsidR="00191EE5">
        <w:rPr>
          <w:color w:val="auto"/>
        </w:rPr>
        <w:t>3</w:t>
      </w:r>
      <w:r w:rsidRPr="00696029">
        <w:rPr>
          <w:color w:val="auto"/>
        </w:rPr>
        <w:t xml:space="preserve">.1 – </w:t>
      </w:r>
      <w:r w:rsidR="00191EE5">
        <w:rPr>
          <w:color w:val="auto"/>
        </w:rPr>
        <w:t>Faire la réflexion stratégique</w:t>
      </w:r>
    </w:p>
    <w:p w14:paraId="710B4592" w14:textId="77777777" w:rsidR="00696029" w:rsidRPr="00696029" w:rsidRDefault="00696029" w:rsidP="00696029">
      <w:pPr>
        <w:spacing w:before="276" w:line="192" w:lineRule="auto"/>
        <w:ind w:right="10"/>
        <w:rPr>
          <w:b/>
          <w:spacing w:val="-24"/>
          <w:sz w:val="40"/>
          <w:szCs w:val="40"/>
        </w:rPr>
      </w:pPr>
    </w:p>
    <w:p w14:paraId="5878E727" w14:textId="77777777" w:rsidR="00696029" w:rsidRPr="00696029" w:rsidRDefault="00696029" w:rsidP="00696029">
      <w:pPr>
        <w:spacing w:before="276" w:line="192" w:lineRule="auto"/>
        <w:ind w:right="10" w:hanging="3"/>
        <w:jc w:val="center"/>
        <w:rPr>
          <w:b/>
          <w:spacing w:val="-24"/>
          <w:sz w:val="40"/>
          <w:szCs w:val="40"/>
        </w:rPr>
      </w:pPr>
    </w:p>
    <w:p w14:paraId="31489969" w14:textId="77777777" w:rsidR="00696029" w:rsidRPr="00696029" w:rsidRDefault="00696029" w:rsidP="00696029">
      <w:pPr>
        <w:spacing w:before="276" w:line="192" w:lineRule="auto"/>
        <w:ind w:right="10" w:hanging="3"/>
        <w:jc w:val="center"/>
        <w:rPr>
          <w:b/>
          <w:spacing w:val="-24"/>
          <w:sz w:val="40"/>
          <w:szCs w:val="40"/>
        </w:rPr>
        <w:sectPr w:rsidR="00696029" w:rsidRPr="00696029" w:rsidSect="00561165">
          <w:footerReference w:type="even" r:id="rId10"/>
          <w:footerReference w:type="default" r:id="rId11"/>
          <w:footerReference w:type="first" r:id="rId12"/>
          <w:pgSz w:w="12240" w:h="15840"/>
          <w:pgMar w:top="1134" w:right="1701" w:bottom="1701" w:left="1134" w:header="720" w:footer="720" w:gutter="0"/>
          <w:cols w:space="720"/>
          <w:titlePg/>
          <w:docGrid w:linePitch="299"/>
        </w:sectPr>
      </w:pPr>
      <w:r w:rsidRPr="00696029">
        <w:rPr>
          <w:b/>
          <w:spacing w:val="-24"/>
          <w:sz w:val="40"/>
          <w:szCs w:val="40"/>
        </w:rPr>
        <w:br/>
      </w:r>
      <w:r w:rsidRPr="00696029">
        <w:rPr>
          <w:b/>
          <w:spacing w:val="-24"/>
          <w:sz w:val="40"/>
          <w:szCs w:val="40"/>
        </w:rPr>
        <w:br/>
      </w:r>
      <w:r w:rsidRPr="00696029">
        <w:rPr>
          <w:b/>
          <w:spacing w:val="-24"/>
          <w:sz w:val="40"/>
          <w:szCs w:val="40"/>
        </w:rPr>
        <w:br/>
      </w:r>
      <w:r w:rsidRPr="00696029">
        <w:rPr>
          <w:b/>
          <w:spacing w:val="-24"/>
          <w:sz w:val="40"/>
          <w:szCs w:val="40"/>
        </w:rPr>
        <w:br/>
      </w:r>
    </w:p>
    <w:tbl>
      <w:tblPr>
        <w:tblW w:w="9639" w:type="dxa"/>
        <w:shd w:val="clear" w:color="auto" w:fill="E9C224"/>
        <w:tblLayout w:type="fixed"/>
        <w:tblLook w:val="0400" w:firstRow="0" w:lastRow="0" w:firstColumn="0" w:lastColumn="0" w:noHBand="0" w:noVBand="1"/>
      </w:tblPr>
      <w:tblGrid>
        <w:gridCol w:w="9639"/>
      </w:tblGrid>
      <w:tr w:rsidR="00FE43F8" w:rsidRPr="00FE43F8" w14:paraId="250C72B2" w14:textId="77777777" w:rsidTr="00FE43F8">
        <w:trPr>
          <w:trHeight w:val="590"/>
        </w:trPr>
        <w:tc>
          <w:tcPr>
            <w:tcW w:w="9639" w:type="dxa"/>
            <w:shd w:val="clear" w:color="auto" w:fill="F2CC26"/>
            <w:vAlign w:val="center"/>
          </w:tcPr>
          <w:p w14:paraId="49322D9B" w14:textId="77777777" w:rsidR="00696029" w:rsidRPr="00FE43F8" w:rsidRDefault="00696029" w:rsidP="00BB7137">
            <w:pPr>
              <w:pStyle w:val="Tableautitre"/>
            </w:pPr>
            <w:bookmarkStart w:id="2" w:name="_Hlk102136488"/>
            <w:bookmarkEnd w:id="0"/>
            <w:r w:rsidRPr="00FE43F8">
              <w:lastRenderedPageBreak/>
              <w:t>EN BREF, AVEC CET OUTIL…</w:t>
            </w:r>
          </w:p>
        </w:tc>
      </w:tr>
      <w:tr w:rsidR="00696029" w:rsidRPr="00D31CA9" w14:paraId="77123C58" w14:textId="77777777" w:rsidTr="00BB7137">
        <w:trPr>
          <w:trHeight w:val="1255"/>
        </w:trPr>
        <w:tc>
          <w:tcPr>
            <w:tcW w:w="9639" w:type="dxa"/>
            <w:shd w:val="clear" w:color="auto" w:fill="FFFFFF" w:themeFill="background1"/>
          </w:tcPr>
          <w:p w14:paraId="5D8A70F7" w14:textId="77777777" w:rsidR="00FE43F8" w:rsidRDefault="00FE43F8" w:rsidP="00FE43F8">
            <w:pPr>
              <w:numPr>
                <w:ilvl w:val="0"/>
                <w:numId w:val="8"/>
              </w:numPr>
              <w:pBdr>
                <w:top w:val="nil"/>
                <w:left w:val="nil"/>
                <w:bottom w:val="nil"/>
                <w:right w:val="nil"/>
                <w:between w:val="nil"/>
              </w:pBdr>
              <w:spacing w:before="120" w:after="120"/>
              <w:rPr>
                <w:color w:val="000000"/>
              </w:rPr>
            </w:pPr>
            <w:r>
              <w:rPr>
                <w:b/>
                <w:color w:val="262626"/>
              </w:rPr>
              <w:t>Partie 1 – Bonnes pratiques pour la rédaction des énoncés :</w:t>
            </w:r>
            <w:r>
              <w:rPr>
                <w:color w:val="262626"/>
              </w:rPr>
              <w:t xml:space="preserve"> conseils généraux pour construire les énoncés de la vision et des orientations stratégiques</w:t>
            </w:r>
            <w:r>
              <w:rPr>
                <w:color w:val="000000"/>
              </w:rPr>
              <w:t>.</w:t>
            </w:r>
          </w:p>
          <w:p w14:paraId="26DFE99F" w14:textId="4023DDAE" w:rsidR="00FE43F8" w:rsidRPr="00FE43F8" w:rsidRDefault="00FE43F8" w:rsidP="00FE43F8">
            <w:pPr>
              <w:numPr>
                <w:ilvl w:val="0"/>
                <w:numId w:val="8"/>
              </w:numPr>
              <w:pBdr>
                <w:top w:val="nil"/>
                <w:left w:val="nil"/>
                <w:bottom w:val="nil"/>
                <w:right w:val="nil"/>
                <w:between w:val="nil"/>
              </w:pBdr>
              <w:spacing w:before="120" w:after="120"/>
              <w:rPr>
                <w:color w:val="000000"/>
              </w:rPr>
            </w:pPr>
            <w:r w:rsidRPr="00FE43F8">
              <w:rPr>
                <w:b/>
                <w:color w:val="000000"/>
              </w:rPr>
              <w:t>Partie 2 – Rédiger les énoncés :</w:t>
            </w:r>
            <w:r w:rsidRPr="00FE43F8">
              <w:rPr>
                <w:color w:val="000000"/>
              </w:rPr>
              <w:t xml:space="preserve"> guide de rédaction des énoncés.</w:t>
            </w:r>
          </w:p>
        </w:tc>
      </w:tr>
    </w:tbl>
    <w:p w14:paraId="11A1F608" w14:textId="77777777" w:rsidR="00696029" w:rsidRPr="00D31CA9" w:rsidRDefault="00696029" w:rsidP="00696029">
      <w:pPr>
        <w:spacing w:before="120" w:after="120"/>
        <w:rPr>
          <w:sz w:val="20"/>
          <w:szCs w:val="20"/>
        </w:rPr>
      </w:pPr>
    </w:p>
    <w:tbl>
      <w:tblPr>
        <w:tblW w:w="9639" w:type="dxa"/>
        <w:shd w:val="clear" w:color="auto" w:fill="E9C224"/>
        <w:tblLayout w:type="fixed"/>
        <w:tblLook w:val="0400" w:firstRow="0" w:lastRow="0" w:firstColumn="0" w:lastColumn="0" w:noHBand="0" w:noVBand="1"/>
      </w:tblPr>
      <w:tblGrid>
        <w:gridCol w:w="9639"/>
      </w:tblGrid>
      <w:tr w:rsidR="00984732" w:rsidRPr="00FE43F8" w14:paraId="037241BA" w14:textId="77777777" w:rsidTr="00DE47AA">
        <w:trPr>
          <w:trHeight w:val="610"/>
        </w:trPr>
        <w:tc>
          <w:tcPr>
            <w:tcW w:w="9639" w:type="dxa"/>
            <w:shd w:val="clear" w:color="auto" w:fill="F2CC26"/>
            <w:vAlign w:val="center"/>
          </w:tcPr>
          <w:p w14:paraId="7378FC41" w14:textId="10F446CB" w:rsidR="00984732" w:rsidRPr="00FE43F8" w:rsidRDefault="00984732" w:rsidP="00BB7137">
            <w:pPr>
              <w:pStyle w:val="Tableautitre"/>
            </w:pPr>
            <w:r w:rsidRPr="00FE43F8">
              <w:t>FONCTIONNEMENT DE L’OUTIL</w:t>
            </w:r>
          </w:p>
        </w:tc>
      </w:tr>
      <w:tr w:rsidR="00696029" w:rsidRPr="00D31CA9" w14:paraId="68E8FC4C" w14:textId="77777777" w:rsidTr="00BB7137">
        <w:trPr>
          <w:trHeight w:val="4567"/>
        </w:trPr>
        <w:tc>
          <w:tcPr>
            <w:tcW w:w="9639" w:type="dxa"/>
            <w:tcBorders>
              <w:bottom w:val="single" w:sz="4" w:space="0" w:color="auto"/>
            </w:tcBorders>
            <w:shd w:val="clear" w:color="auto" w:fill="FFFFFF" w:themeFill="background1"/>
          </w:tcPr>
          <w:p w14:paraId="46567270" w14:textId="2B8B2200" w:rsidR="00FE43F8" w:rsidRPr="00FE43F8" w:rsidRDefault="00696029" w:rsidP="00FE43F8">
            <w:pPr>
              <w:widowControl w:val="0"/>
              <w:spacing w:before="120" w:after="120"/>
            </w:pPr>
            <w:r w:rsidRPr="00D31CA9">
              <w:rPr>
                <w:color w:val="262626"/>
                <w:sz w:val="20"/>
                <w:szCs w:val="20"/>
              </w:rPr>
              <w:br/>
            </w:r>
            <w:r w:rsidR="00FE43F8" w:rsidRPr="00FE43F8">
              <w:t>L’outil contient des tableaux à remplir et des directives précisant le contenu à insérer.</w:t>
            </w:r>
          </w:p>
          <w:p w14:paraId="17DF3460" w14:textId="7D711D88" w:rsidR="00696029" w:rsidRPr="00D31CA9" w:rsidRDefault="00FE43F8" w:rsidP="00FE43F8">
            <w:pPr>
              <w:rPr>
                <w:sz w:val="20"/>
                <w:szCs w:val="20"/>
              </w:rPr>
            </w:pPr>
            <w:r w:rsidRPr="00FE43F8">
              <w:t>Adapter l’outil et supprimer les sections non pertinentes des tableaux.</w:t>
            </w:r>
          </w:p>
        </w:tc>
      </w:tr>
    </w:tbl>
    <w:p w14:paraId="4D23DD01" w14:textId="77777777" w:rsidR="00696029" w:rsidRPr="00803FFA" w:rsidRDefault="00696029" w:rsidP="00696029">
      <w:pPr>
        <w:widowControl w:val="0"/>
        <w:spacing w:before="120" w:after="120"/>
        <w:rPr>
          <w:b/>
        </w:rPr>
      </w:pPr>
      <w:r>
        <w:rPr>
          <w:b/>
          <w:color w:val="E8CE0E"/>
        </w:rPr>
        <w:br w:type="page"/>
      </w:r>
    </w:p>
    <w:bookmarkEnd w:id="2"/>
    <w:bookmarkEnd w:id="1"/>
    <w:p w14:paraId="7A774059" w14:textId="77777777" w:rsidR="00FE43F8" w:rsidRPr="00FE43F8" w:rsidRDefault="00711924" w:rsidP="00FE43F8">
      <w:pPr>
        <w:pStyle w:val="Titrejaune"/>
        <w:ind w:right="-799"/>
      </w:pPr>
      <w:r w:rsidRPr="00FE43F8">
        <w:lastRenderedPageBreak/>
        <w:t>Partie 1</w:t>
      </w:r>
    </w:p>
    <w:p w14:paraId="09C43CC1" w14:textId="29D8BA7E" w:rsidR="00E86162" w:rsidRPr="00FE43F8" w:rsidRDefault="00711924" w:rsidP="00FE43F8">
      <w:pPr>
        <w:pStyle w:val="Titrejaune"/>
        <w:ind w:right="-91"/>
      </w:pPr>
      <w:r w:rsidRPr="00FE43F8">
        <w:t>Bonnes pratiques pour la rédaction des énoncés</w:t>
      </w:r>
    </w:p>
    <w:p w14:paraId="77CBBE74" w14:textId="77777777" w:rsidR="00FE43F8" w:rsidRDefault="00FE43F8">
      <w:pPr>
        <w:spacing w:before="120" w:after="120" w:line="240" w:lineRule="auto"/>
        <w:jc w:val="both"/>
      </w:pPr>
    </w:p>
    <w:p w14:paraId="485B7973" w14:textId="168E9A8D" w:rsidR="00E86162" w:rsidRPr="00FE43F8" w:rsidRDefault="00711924">
      <w:pPr>
        <w:spacing w:before="120" w:after="120" w:line="240" w:lineRule="auto"/>
        <w:jc w:val="both"/>
      </w:pPr>
      <w:r w:rsidRPr="00FE43F8">
        <w:t>Un travail sur la vision régionale et les orientations stratégiques est essentiel pour ancrer le projet de feuille de route (FDR) régionale en économie circulaire (EC) dans le contexte et garantir sa pertinence. Cet exercice permet également de présenter les grandes lignes de la situation souhaitée et d’énoncer des objectifs à portée régionale.</w:t>
      </w:r>
    </w:p>
    <w:p w14:paraId="784F1999" w14:textId="0501FCB5" w:rsidR="00E86162" w:rsidRPr="00FE43F8" w:rsidRDefault="00711924">
      <w:pPr>
        <w:spacing w:before="120" w:after="120" w:line="240" w:lineRule="auto"/>
        <w:jc w:val="both"/>
      </w:pPr>
      <w:r w:rsidRPr="00FE43F8">
        <w:t>Pour profiter d’un puissant effet de levier, l’</w:t>
      </w:r>
      <w:r w:rsidRPr="00FE43F8">
        <w:rPr>
          <w:b/>
        </w:rPr>
        <w:t>Équipe de projet</w:t>
      </w:r>
      <w:r w:rsidRPr="00FE43F8">
        <w:t xml:space="preserve"> mobilise les </w:t>
      </w:r>
      <w:r w:rsidR="00D81B9F" w:rsidRPr="00FE43F8">
        <w:t>parties prenantes (PP)</w:t>
      </w:r>
      <w:r w:rsidRPr="00FE43F8">
        <w:t xml:space="preserve"> autour d’une vision régionale structurante de l’EC. L’élaboration et la mise en œuvre de la FDR s’intègrent alors tout naturellement dans les </w:t>
      </w:r>
      <w:r w:rsidRPr="00FE43F8">
        <w:rPr>
          <w:color w:val="262626"/>
        </w:rPr>
        <w:t>orientations et les projets régionaux en cours.</w:t>
      </w:r>
    </w:p>
    <w:p w14:paraId="4F9F4336" w14:textId="77777777" w:rsidR="00E86162" w:rsidRPr="00FE43F8" w:rsidRDefault="00711924" w:rsidP="00FE43F8">
      <w:pPr>
        <w:pStyle w:val="Soustitre"/>
      </w:pPr>
      <w:r w:rsidRPr="00FE43F8">
        <w:t>PERTINENCE ET FONCTION DE LA VISION</w:t>
      </w:r>
    </w:p>
    <w:p w14:paraId="2BE248FB" w14:textId="77777777" w:rsidR="00E86162" w:rsidRPr="00FE43F8" w:rsidRDefault="00711924">
      <w:pPr>
        <w:spacing w:before="120" w:after="120" w:line="240" w:lineRule="auto"/>
        <w:jc w:val="both"/>
        <w:rPr>
          <w:b/>
        </w:rPr>
      </w:pPr>
      <w:r w:rsidRPr="00FE43F8">
        <w:rPr>
          <w:b/>
        </w:rPr>
        <w:t>Mission, vision, valeurs</w:t>
      </w:r>
    </w:p>
    <w:p w14:paraId="2316A146" w14:textId="77777777" w:rsidR="00E86162" w:rsidRPr="00FE43F8" w:rsidRDefault="00711924">
      <w:pPr>
        <w:numPr>
          <w:ilvl w:val="0"/>
          <w:numId w:val="4"/>
        </w:numPr>
        <w:pBdr>
          <w:top w:val="nil"/>
          <w:left w:val="nil"/>
          <w:bottom w:val="nil"/>
          <w:right w:val="nil"/>
          <w:between w:val="nil"/>
        </w:pBdr>
        <w:spacing w:before="120" w:after="120" w:line="240" w:lineRule="auto"/>
        <w:rPr>
          <w:color w:val="000000"/>
          <w:highlight w:val="white"/>
        </w:rPr>
      </w:pPr>
      <w:r w:rsidRPr="00FE43F8">
        <w:t>L</w:t>
      </w:r>
      <w:r w:rsidRPr="00FE43F8">
        <w:rPr>
          <w:color w:val="000000"/>
        </w:rPr>
        <w:t>a vision d’une organisation s’harmonise avec sa mission et ses valeurs. L</w:t>
      </w:r>
      <w:r w:rsidRPr="00FE43F8">
        <w:t xml:space="preserve">a </w:t>
      </w:r>
      <w:r w:rsidRPr="00FE43F8">
        <w:rPr>
          <w:color w:val="000000"/>
        </w:rPr>
        <w:t>FDR est à portée régionale</w:t>
      </w:r>
      <w:r w:rsidRPr="00FE43F8">
        <w:t xml:space="preserve">. Dans cet esprit, la </w:t>
      </w:r>
      <w:r w:rsidRPr="00FE43F8">
        <w:rPr>
          <w:color w:val="000000"/>
        </w:rPr>
        <w:t>vision doit s’appuyer sur l</w:t>
      </w:r>
      <w:r w:rsidRPr="00FE43F8">
        <w:t xml:space="preserve">a réalité et les </w:t>
      </w:r>
      <w:r w:rsidRPr="00FE43F8">
        <w:rPr>
          <w:color w:val="000000"/>
        </w:rPr>
        <w:t xml:space="preserve">enjeux </w:t>
      </w:r>
      <w:r w:rsidRPr="00FE43F8">
        <w:t>uniques du territoire.</w:t>
      </w:r>
    </w:p>
    <w:p w14:paraId="3635B6F9" w14:textId="00E07D2B" w:rsidR="00E86162" w:rsidRPr="00FE43F8" w:rsidRDefault="00711924">
      <w:pPr>
        <w:numPr>
          <w:ilvl w:val="0"/>
          <w:numId w:val="4"/>
        </w:numPr>
        <w:pBdr>
          <w:top w:val="nil"/>
          <w:left w:val="nil"/>
          <w:bottom w:val="nil"/>
          <w:right w:val="nil"/>
          <w:between w:val="nil"/>
        </w:pBdr>
        <w:spacing w:before="120" w:after="120" w:line="240" w:lineRule="auto"/>
        <w:jc w:val="both"/>
        <w:rPr>
          <w:color w:val="000000"/>
        </w:rPr>
      </w:pPr>
      <w:r w:rsidRPr="00FE43F8">
        <w:rPr>
          <w:color w:val="000000"/>
        </w:rPr>
        <w:t>L’EC porte implicitement des valeurs qui peuvent aider à définir la vision</w:t>
      </w:r>
      <w:r w:rsidRPr="00FE43F8">
        <w:t xml:space="preserve">, comme la </w:t>
      </w:r>
      <w:r w:rsidRPr="00FE43F8">
        <w:rPr>
          <w:color w:val="000000"/>
        </w:rPr>
        <w:t>préservation des écosystèmes, la durabilité</w:t>
      </w:r>
      <w:r w:rsidRPr="00FE43F8">
        <w:t xml:space="preserve"> et le </w:t>
      </w:r>
      <w:r w:rsidRPr="00FE43F8">
        <w:rPr>
          <w:color w:val="000000"/>
        </w:rPr>
        <w:t>renforcement des communautés</w:t>
      </w:r>
      <w:r w:rsidRPr="00FE43F8">
        <w:t>.</w:t>
      </w:r>
    </w:p>
    <w:p w14:paraId="45B93F4E" w14:textId="3F2E86C1" w:rsidR="00E86162" w:rsidRPr="00FE43F8" w:rsidRDefault="00711924">
      <w:pPr>
        <w:numPr>
          <w:ilvl w:val="0"/>
          <w:numId w:val="4"/>
        </w:numPr>
        <w:pBdr>
          <w:top w:val="nil"/>
          <w:left w:val="nil"/>
          <w:bottom w:val="nil"/>
          <w:right w:val="nil"/>
          <w:between w:val="nil"/>
        </w:pBdr>
        <w:spacing w:before="120" w:after="120" w:line="240" w:lineRule="auto"/>
        <w:rPr>
          <w:color w:val="000000"/>
          <w:highlight w:val="white"/>
        </w:rPr>
      </w:pPr>
      <w:r w:rsidRPr="00FE43F8">
        <w:t xml:space="preserve">La vision </w:t>
      </w:r>
      <w:r w:rsidRPr="00FE43F8">
        <w:rPr>
          <w:color w:val="000000"/>
        </w:rPr>
        <w:t xml:space="preserve">décrit la situation souhaitée à long terme. </w:t>
      </w:r>
      <w:r w:rsidRPr="00FE43F8">
        <w:t>E</w:t>
      </w:r>
      <w:r w:rsidRPr="00FE43F8">
        <w:rPr>
          <w:color w:val="000000"/>
        </w:rPr>
        <w:t>lle</w:t>
      </w:r>
      <w:r w:rsidRPr="00FE43F8">
        <w:t xml:space="preserve"> s’appuie </w:t>
      </w:r>
      <w:r w:rsidRPr="00FE43F8">
        <w:rPr>
          <w:color w:val="000000"/>
        </w:rPr>
        <w:t xml:space="preserve">sur les données recueillies à </w:t>
      </w:r>
      <w:r w:rsidRPr="00FE43F8">
        <w:rPr>
          <w:color w:val="262626"/>
        </w:rPr>
        <w:t>l’</w:t>
      </w:r>
      <w:r w:rsidRPr="00FE43F8">
        <w:rPr>
          <w:b/>
          <w:color w:val="A4A1AB"/>
          <w:highlight w:val="white"/>
        </w:rPr>
        <w:t>Étape 2 – Portrait régional</w:t>
      </w:r>
      <w:r w:rsidRPr="00FE43F8">
        <w:t xml:space="preserve">, </w:t>
      </w:r>
      <w:r w:rsidRPr="00FE43F8">
        <w:rPr>
          <w:color w:val="000000"/>
        </w:rPr>
        <w:t>c’est-à-dire sur le portrait actuel de l’EC à l’échelle régionale.</w:t>
      </w:r>
    </w:p>
    <w:p w14:paraId="6EBE6CCC" w14:textId="76F4736D" w:rsidR="00E86162" w:rsidRPr="00FE43F8" w:rsidRDefault="00711924">
      <w:pPr>
        <w:spacing w:before="120" w:after="120" w:line="240" w:lineRule="auto"/>
        <w:jc w:val="both"/>
        <w:rPr>
          <w:b/>
        </w:rPr>
      </w:pPr>
      <w:r w:rsidRPr="00FE43F8">
        <w:rPr>
          <w:b/>
        </w:rPr>
        <w:t>Une vision bien élaborée :</w:t>
      </w:r>
    </w:p>
    <w:p w14:paraId="1A60C9AB" w14:textId="1AFD15AF" w:rsidR="00E86162" w:rsidRPr="00FE43F8" w:rsidRDefault="00711924">
      <w:pPr>
        <w:numPr>
          <w:ilvl w:val="0"/>
          <w:numId w:val="3"/>
        </w:numPr>
        <w:pBdr>
          <w:top w:val="nil"/>
          <w:left w:val="nil"/>
          <w:bottom w:val="nil"/>
          <w:right w:val="nil"/>
          <w:between w:val="nil"/>
        </w:pBdr>
        <w:spacing w:before="120" w:after="120" w:line="240" w:lineRule="auto"/>
        <w:rPr>
          <w:color w:val="000000"/>
          <w:highlight w:val="white"/>
        </w:rPr>
      </w:pPr>
      <w:r w:rsidRPr="00FE43F8">
        <w:rPr>
          <w:color w:val="000000"/>
        </w:rPr>
        <w:t>Est claire, courte et précise.</w:t>
      </w:r>
    </w:p>
    <w:p w14:paraId="0E256CD5" w14:textId="7A35A26D" w:rsidR="00E86162" w:rsidRPr="00FE43F8" w:rsidRDefault="00711924">
      <w:pPr>
        <w:numPr>
          <w:ilvl w:val="0"/>
          <w:numId w:val="3"/>
        </w:numPr>
        <w:pBdr>
          <w:top w:val="nil"/>
          <w:left w:val="nil"/>
          <w:bottom w:val="nil"/>
          <w:right w:val="nil"/>
          <w:between w:val="nil"/>
        </w:pBdr>
        <w:spacing w:before="120" w:after="120" w:line="240" w:lineRule="auto"/>
        <w:jc w:val="both"/>
        <w:rPr>
          <w:color w:val="000000"/>
        </w:rPr>
      </w:pPr>
      <w:r w:rsidRPr="00FE43F8">
        <w:rPr>
          <w:color w:val="000000"/>
        </w:rPr>
        <w:t>S’inscrit dans un horizon temporel de cinq, dix ou quinze ans, selon l’avenir souhaité par les porteurs de la démarche. De</w:t>
      </w:r>
      <w:r w:rsidRPr="00FE43F8">
        <w:t>s pilotes de quelques mois sont aussi possibles pour tester la coordination et apprivoiser le processus.</w:t>
      </w:r>
    </w:p>
    <w:p w14:paraId="4CCCD456" w14:textId="77777777" w:rsidR="00E86162" w:rsidRPr="00FE43F8" w:rsidRDefault="00711924">
      <w:pPr>
        <w:numPr>
          <w:ilvl w:val="0"/>
          <w:numId w:val="3"/>
        </w:numPr>
        <w:pBdr>
          <w:top w:val="nil"/>
          <w:left w:val="nil"/>
          <w:bottom w:val="nil"/>
          <w:right w:val="nil"/>
          <w:between w:val="nil"/>
        </w:pBdr>
        <w:spacing w:before="120" w:after="120" w:line="240" w:lineRule="auto"/>
        <w:rPr>
          <w:color w:val="000000"/>
          <w:highlight w:val="white"/>
        </w:rPr>
      </w:pPr>
      <w:r w:rsidRPr="00FE43F8">
        <w:rPr>
          <w:color w:val="000000"/>
        </w:rPr>
        <w:t>Évoque une image de référence vers laquelle les PP canalisent leurs énergies et leurs ressources.</w:t>
      </w:r>
    </w:p>
    <w:p w14:paraId="68FAC07B" w14:textId="76A53737" w:rsidR="00E86162" w:rsidRPr="00FE43F8" w:rsidRDefault="00711924">
      <w:pPr>
        <w:numPr>
          <w:ilvl w:val="0"/>
          <w:numId w:val="3"/>
        </w:numPr>
        <w:pBdr>
          <w:top w:val="nil"/>
          <w:left w:val="nil"/>
          <w:bottom w:val="nil"/>
          <w:right w:val="nil"/>
          <w:between w:val="nil"/>
        </w:pBdr>
        <w:spacing w:before="120" w:after="120" w:line="240" w:lineRule="auto"/>
        <w:rPr>
          <w:color w:val="000000"/>
          <w:highlight w:val="white"/>
        </w:rPr>
      </w:pPr>
      <w:r w:rsidRPr="00FE43F8">
        <w:rPr>
          <w:color w:val="000000"/>
        </w:rPr>
        <w:t>Reflète le changement à opérer et sert d’ancrage aux orientations stratégiques.</w:t>
      </w:r>
    </w:p>
    <w:p w14:paraId="76B71555" w14:textId="77777777" w:rsidR="00E86162" w:rsidRPr="00FE43F8" w:rsidRDefault="00711924">
      <w:pPr>
        <w:spacing w:before="120" w:after="120" w:line="240" w:lineRule="auto"/>
        <w:jc w:val="both"/>
        <w:rPr>
          <w:highlight w:val="white"/>
        </w:rPr>
      </w:pPr>
      <w:r w:rsidRPr="00FE43F8">
        <w:t>La vision n’est pas statique. Elle doit être revue occasionnellement pour s’ajuster aux changements internes et aux fluctuations de l’environnement externe.</w:t>
      </w:r>
    </w:p>
    <w:p w14:paraId="68BA583C" w14:textId="77777777" w:rsidR="00E86162" w:rsidRPr="00DC2857" w:rsidRDefault="00E86162">
      <w:pPr>
        <w:spacing w:before="120" w:after="120" w:line="240" w:lineRule="auto"/>
        <w:jc w:val="both"/>
      </w:pPr>
    </w:p>
    <w:p w14:paraId="58D9611B" w14:textId="77777777" w:rsidR="00DC2857" w:rsidRPr="00DC2857" w:rsidRDefault="00DC2857">
      <w:bookmarkStart w:id="3" w:name="_heading=h.1fob9te" w:colFirst="0" w:colLast="0"/>
      <w:bookmarkEnd w:id="3"/>
      <w:r w:rsidRPr="00DC2857">
        <w:br w:type="page"/>
      </w:r>
    </w:p>
    <w:p w14:paraId="4FD7E776" w14:textId="2C8080C9" w:rsidR="00E86162" w:rsidRPr="00DC2857" w:rsidRDefault="00711924">
      <w:pPr>
        <w:spacing w:before="120" w:after="120" w:line="240" w:lineRule="auto"/>
        <w:jc w:val="both"/>
        <w:rPr>
          <w:color w:val="F2CC26"/>
        </w:rPr>
      </w:pPr>
      <w:r w:rsidRPr="00DC2857">
        <w:rPr>
          <w:color w:val="F2CC26"/>
        </w:rPr>
        <w:lastRenderedPageBreak/>
        <w:t>Selon l’Organisation de coopération et de développement économiques (OCDE), quatre principes fondamentaux doivent être considérés pour une transition vers l’EC :</w:t>
      </w:r>
    </w:p>
    <w:p w14:paraId="28D788C3" w14:textId="77777777" w:rsidR="00E86162" w:rsidRPr="00FE43F8" w:rsidRDefault="00711924">
      <w:pPr>
        <w:numPr>
          <w:ilvl w:val="0"/>
          <w:numId w:val="1"/>
        </w:numPr>
        <w:pBdr>
          <w:top w:val="nil"/>
          <w:left w:val="nil"/>
          <w:bottom w:val="nil"/>
          <w:right w:val="nil"/>
          <w:between w:val="nil"/>
        </w:pBdr>
        <w:spacing w:before="120" w:after="120" w:line="240" w:lineRule="auto"/>
        <w:ind w:left="714" w:hanging="357"/>
        <w:rPr>
          <w:color w:val="000000"/>
          <w:highlight w:val="white"/>
        </w:rPr>
      </w:pPr>
      <w:r w:rsidRPr="00FE43F8">
        <w:rPr>
          <w:color w:val="000000"/>
        </w:rPr>
        <w:t>Augmenter l’intérêt et la sensibilité à l’EC.</w:t>
      </w:r>
    </w:p>
    <w:p w14:paraId="6FA67415" w14:textId="77777777" w:rsidR="00E86162" w:rsidRPr="00FE43F8" w:rsidRDefault="00711924">
      <w:pPr>
        <w:numPr>
          <w:ilvl w:val="0"/>
          <w:numId w:val="1"/>
        </w:numPr>
        <w:pBdr>
          <w:top w:val="nil"/>
          <w:left w:val="nil"/>
          <w:bottom w:val="nil"/>
          <w:right w:val="nil"/>
          <w:between w:val="nil"/>
        </w:pBdr>
        <w:spacing w:before="120" w:after="120" w:line="240" w:lineRule="auto"/>
        <w:ind w:left="714" w:hanging="357"/>
        <w:rPr>
          <w:color w:val="000000"/>
          <w:highlight w:val="white"/>
        </w:rPr>
      </w:pPr>
      <w:r w:rsidRPr="00FE43F8">
        <w:rPr>
          <w:color w:val="000000"/>
        </w:rPr>
        <w:t>Donner de l’espace aux initiatives en EC.</w:t>
      </w:r>
    </w:p>
    <w:p w14:paraId="5FC04243" w14:textId="77777777" w:rsidR="00E86162" w:rsidRPr="00FE43F8" w:rsidRDefault="00711924">
      <w:pPr>
        <w:numPr>
          <w:ilvl w:val="0"/>
          <w:numId w:val="1"/>
        </w:numPr>
        <w:pBdr>
          <w:top w:val="nil"/>
          <w:left w:val="nil"/>
          <w:bottom w:val="nil"/>
          <w:right w:val="nil"/>
          <w:between w:val="nil"/>
        </w:pBdr>
        <w:spacing w:before="120" w:after="120" w:line="240" w:lineRule="auto"/>
        <w:ind w:left="714" w:hanging="357"/>
        <w:rPr>
          <w:color w:val="000000"/>
          <w:highlight w:val="white"/>
        </w:rPr>
      </w:pPr>
      <w:r w:rsidRPr="00FE43F8">
        <w:rPr>
          <w:color w:val="000000"/>
        </w:rPr>
        <w:t>Susciter et provoquer l’action et les initiatives.</w:t>
      </w:r>
    </w:p>
    <w:p w14:paraId="6DBAEF43" w14:textId="77777777" w:rsidR="00E86162" w:rsidRPr="00FE43F8" w:rsidRDefault="00711924">
      <w:pPr>
        <w:numPr>
          <w:ilvl w:val="0"/>
          <w:numId w:val="1"/>
        </w:numPr>
        <w:pBdr>
          <w:top w:val="nil"/>
          <w:left w:val="nil"/>
          <w:bottom w:val="nil"/>
          <w:right w:val="nil"/>
          <w:between w:val="nil"/>
        </w:pBdr>
        <w:spacing w:before="120" w:after="120" w:line="240" w:lineRule="auto"/>
        <w:ind w:left="714" w:hanging="357"/>
        <w:rPr>
          <w:color w:val="000000"/>
          <w:highlight w:val="white"/>
        </w:rPr>
      </w:pPr>
      <w:r w:rsidRPr="00FE43F8">
        <w:rPr>
          <w:color w:val="000000"/>
        </w:rPr>
        <w:t>Mesurer la performance et évaluer les résultats.</w:t>
      </w:r>
    </w:p>
    <w:p w14:paraId="304EB079" w14:textId="104D4C18" w:rsidR="00E86162" w:rsidRPr="00DC2857" w:rsidRDefault="00DC2857" w:rsidP="00DC2857">
      <w:pPr>
        <w:pStyle w:val="Soustitre"/>
      </w:pPr>
      <w:r w:rsidRPr="00DC2857">
        <w:t>CONCR</w:t>
      </w:r>
      <w:r>
        <w:t>È</w:t>
      </w:r>
      <w:r w:rsidRPr="00DC2857">
        <w:t xml:space="preserve">TEMENT, </w:t>
      </w:r>
      <w:r>
        <w:t>À</w:t>
      </w:r>
      <w:r w:rsidRPr="00DC2857">
        <w:t xml:space="preserve"> QUOI RESSEMBLENT TOUS CES </w:t>
      </w:r>
      <w:proofErr w:type="gramStart"/>
      <w:r>
        <w:t>É</w:t>
      </w:r>
      <w:r w:rsidRPr="00DC2857">
        <w:t>NONC</w:t>
      </w:r>
      <w:r>
        <w:t>É</w:t>
      </w:r>
      <w:r w:rsidRPr="00DC2857">
        <w:t>S?</w:t>
      </w:r>
      <w:proofErr w:type="gramEnd"/>
    </w:p>
    <w:p w14:paraId="6175A4AA" w14:textId="0D7919A3" w:rsidR="00E86162" w:rsidRPr="00DC2857" w:rsidRDefault="00711924">
      <w:pPr>
        <w:jc w:val="both"/>
      </w:pPr>
      <w:r w:rsidRPr="00DC2857">
        <w:t xml:space="preserve">Voici un exemple </w:t>
      </w:r>
      <w:proofErr w:type="gramStart"/>
      <w:r w:rsidRPr="00DC2857">
        <w:t xml:space="preserve">de </w:t>
      </w:r>
      <w:r w:rsidRPr="00DC2857">
        <w:rPr>
          <w:color w:val="F2CC26"/>
        </w:rPr>
        <w:t>Est</w:t>
      </w:r>
      <w:proofErr w:type="gramEnd"/>
      <w:r w:rsidRPr="00DC2857">
        <w:rPr>
          <w:color w:val="F2CC26"/>
        </w:rPr>
        <w:t xml:space="preserve"> Ensemble </w:t>
      </w:r>
      <w:r w:rsidRPr="00DC2857">
        <w:t>(s. d.), établissement public territorial de la nouvelle Métropole du Grand Paris, qui affirme avoir « l’ambition de faire de l’exemplarité environnementale et de la transition écologique un des piliers de son développement », dont l’élaboration et la mise en œuvre d’une stratégie pour une EC en est une étape importante.</w:t>
      </w:r>
    </w:p>
    <w:p w14:paraId="793AECB0" w14:textId="77777777" w:rsidR="00E86162" w:rsidRPr="00DC2857" w:rsidRDefault="00E86162">
      <w:pPr>
        <w:jc w:val="both"/>
      </w:pPr>
    </w:p>
    <w:p w14:paraId="64972175" w14:textId="36D110AA" w:rsidR="00E86162" w:rsidRPr="00DC2857" w:rsidRDefault="00711924">
      <w:pPr>
        <w:jc w:val="both"/>
      </w:pPr>
      <w:r w:rsidRPr="00DC2857">
        <w:t xml:space="preserve">À partir de l’état des lieux de son territoire, </w:t>
      </w:r>
      <w:r w:rsidRPr="00DC2857">
        <w:rPr>
          <w:color w:val="F2CC26"/>
        </w:rPr>
        <w:t xml:space="preserve">Est Ensemble </w:t>
      </w:r>
      <w:r w:rsidRPr="00DC2857">
        <w:t>a tout d’abord établi sa vision commune de l’EC, pour ensuite définir l’énoncé de la vision souhaitée :</w:t>
      </w:r>
    </w:p>
    <w:p w14:paraId="14EB79B8" w14:textId="77777777" w:rsidR="00E86162" w:rsidRPr="00DC2857" w:rsidRDefault="00E86162">
      <w:pPr>
        <w:jc w:val="both"/>
      </w:pPr>
    </w:p>
    <w:tbl>
      <w:tblPr>
        <w:tblStyle w:val="aff4"/>
        <w:tblW w:w="9493" w:type="dxa"/>
        <w:tblInd w:w="0" w:type="dxa"/>
        <w:tblBorders>
          <w:top w:val="single" w:sz="4" w:space="0" w:color="F2CC26"/>
          <w:left w:val="single" w:sz="4" w:space="0" w:color="F2CC26"/>
          <w:bottom w:val="single" w:sz="4" w:space="0" w:color="F2CC26"/>
          <w:right w:val="single" w:sz="4" w:space="0" w:color="F2CC26"/>
          <w:insideH w:val="single" w:sz="4" w:space="0" w:color="F2CC26"/>
          <w:insideV w:val="single" w:sz="4" w:space="0" w:color="F2CC26"/>
        </w:tblBorders>
        <w:tblLayout w:type="fixed"/>
        <w:tblLook w:val="0400" w:firstRow="0" w:lastRow="0" w:firstColumn="0" w:lastColumn="0" w:noHBand="0" w:noVBand="1"/>
      </w:tblPr>
      <w:tblGrid>
        <w:gridCol w:w="9493"/>
      </w:tblGrid>
      <w:tr w:rsidR="00E86162" w:rsidRPr="00DC2857" w14:paraId="037FFA7C" w14:textId="77777777" w:rsidTr="00DC2857">
        <w:tc>
          <w:tcPr>
            <w:tcW w:w="9493" w:type="dxa"/>
          </w:tcPr>
          <w:p w14:paraId="28A9571F" w14:textId="77777777" w:rsidR="00E86162" w:rsidRPr="00DC2857" w:rsidRDefault="00711924">
            <w:pPr>
              <w:rPr>
                <w:rFonts w:ascii="Arial" w:eastAsia="Arial" w:hAnsi="Arial" w:cs="Arial"/>
                <w:sz w:val="22"/>
                <w:szCs w:val="22"/>
              </w:rPr>
            </w:pPr>
            <w:r w:rsidRPr="00DC2857">
              <w:rPr>
                <w:rFonts w:ascii="Arial" w:eastAsia="Arial" w:hAnsi="Arial" w:cs="Arial"/>
                <w:sz w:val="22"/>
                <w:szCs w:val="22"/>
              </w:rPr>
              <w:t>« La stratégie d’économie circulaire d’</w:t>
            </w:r>
            <w:r w:rsidRPr="00DC2857">
              <w:rPr>
                <w:rFonts w:ascii="Arial" w:eastAsia="Arial" w:hAnsi="Arial" w:cs="Arial"/>
                <w:color w:val="F2CC26"/>
                <w:sz w:val="22"/>
                <w:szCs w:val="22"/>
              </w:rPr>
              <w:t xml:space="preserve">Est Ensemble </w:t>
            </w:r>
            <w:r w:rsidRPr="00DC2857">
              <w:rPr>
                <w:rFonts w:ascii="Arial" w:eastAsia="Arial" w:hAnsi="Arial" w:cs="Arial"/>
                <w:sz w:val="22"/>
                <w:szCs w:val="22"/>
              </w:rPr>
              <w:t>vise donc une optimisation de la gestion des ressources grâce à un développement du territoire privilégiant la proximité et les échanges locaux, tout en garantissant une performance globale, économique, sociale et environnementale. »</w:t>
            </w:r>
          </w:p>
        </w:tc>
      </w:tr>
    </w:tbl>
    <w:p w14:paraId="5FB91FB1" w14:textId="77777777" w:rsidR="00E86162" w:rsidRPr="00DC2857" w:rsidRDefault="00E86162">
      <w:pPr>
        <w:jc w:val="both"/>
      </w:pPr>
    </w:p>
    <w:p w14:paraId="5C01AF6D" w14:textId="79D92773" w:rsidR="00E86162" w:rsidRPr="00DC2857" w:rsidRDefault="00711924">
      <w:pPr>
        <w:jc w:val="both"/>
      </w:pPr>
      <w:r w:rsidRPr="00DC2857">
        <w:t xml:space="preserve">Pour définir ses orientations stratégiques, </w:t>
      </w:r>
      <w:r w:rsidRPr="00DC2857">
        <w:rPr>
          <w:color w:val="F2CC26"/>
        </w:rPr>
        <w:t xml:space="preserve">Est Ensemble </w:t>
      </w:r>
      <w:r w:rsidRPr="00DC2857">
        <w:t>a identifié les raisons pour lesquelles il souhaitait mettre en place une stratégie d’EC (les grands objectifs de la démarche). Il a ensuite déterminé les trois grandes orientations stratégiques qu’il devait adopter pour réaliser sa vision :</w:t>
      </w:r>
    </w:p>
    <w:p w14:paraId="47B3D88A" w14:textId="77777777" w:rsidR="00E86162" w:rsidRPr="00DC2857" w:rsidRDefault="00E86162">
      <w:pPr>
        <w:jc w:val="both"/>
      </w:pPr>
    </w:p>
    <w:tbl>
      <w:tblPr>
        <w:tblStyle w:val="aff5"/>
        <w:tblW w:w="9493" w:type="dxa"/>
        <w:tblInd w:w="0" w:type="dxa"/>
        <w:tblBorders>
          <w:top w:val="single" w:sz="4" w:space="0" w:color="F2CC26"/>
          <w:left w:val="single" w:sz="4" w:space="0" w:color="F2CC26"/>
          <w:bottom w:val="single" w:sz="4" w:space="0" w:color="F2CC26"/>
          <w:right w:val="single" w:sz="4" w:space="0" w:color="F2CC26"/>
          <w:insideH w:val="single" w:sz="4" w:space="0" w:color="F2CC26"/>
          <w:insideV w:val="single" w:sz="4" w:space="0" w:color="F2CC26"/>
        </w:tblBorders>
        <w:tblLayout w:type="fixed"/>
        <w:tblLook w:val="0400" w:firstRow="0" w:lastRow="0" w:firstColumn="0" w:lastColumn="0" w:noHBand="0" w:noVBand="1"/>
      </w:tblPr>
      <w:tblGrid>
        <w:gridCol w:w="9493"/>
      </w:tblGrid>
      <w:tr w:rsidR="00E86162" w:rsidRPr="00DC2857" w14:paraId="26A949FE" w14:textId="77777777" w:rsidTr="00DC2857">
        <w:trPr>
          <w:trHeight w:val="20"/>
        </w:trPr>
        <w:tc>
          <w:tcPr>
            <w:tcW w:w="9493" w:type="dxa"/>
          </w:tcPr>
          <w:p w14:paraId="59870E35" w14:textId="1ACB718C" w:rsidR="00E86162" w:rsidRPr="00DC2857" w:rsidRDefault="00711924">
            <w:pPr>
              <w:numPr>
                <w:ilvl w:val="0"/>
                <w:numId w:val="2"/>
              </w:numPr>
              <w:pBdr>
                <w:top w:val="nil"/>
                <w:left w:val="nil"/>
                <w:bottom w:val="nil"/>
                <w:right w:val="nil"/>
                <w:between w:val="nil"/>
              </w:pBdr>
              <w:spacing w:before="120" w:after="120"/>
              <w:ind w:left="312" w:hanging="357"/>
              <w:jc w:val="left"/>
              <w:rPr>
                <w:rFonts w:ascii="Arial" w:eastAsia="Arial" w:hAnsi="Arial" w:cs="Arial"/>
                <w:color w:val="000000"/>
                <w:sz w:val="22"/>
                <w:szCs w:val="22"/>
              </w:rPr>
            </w:pPr>
            <w:r w:rsidRPr="00DC2857">
              <w:rPr>
                <w:rFonts w:ascii="Arial" w:eastAsia="Arial" w:hAnsi="Arial" w:cs="Arial"/>
                <w:color w:val="000000"/>
                <w:sz w:val="22"/>
                <w:szCs w:val="22"/>
              </w:rPr>
              <w:t>Mobiliser les acteurs du territoire pour impulser la transition vers une économie circulaire.</w:t>
            </w:r>
          </w:p>
          <w:p w14:paraId="2D38EC8F" w14:textId="09CFCAA0" w:rsidR="00E86162" w:rsidRPr="00DC2857" w:rsidRDefault="00711924">
            <w:pPr>
              <w:numPr>
                <w:ilvl w:val="0"/>
                <w:numId w:val="2"/>
              </w:numPr>
              <w:pBdr>
                <w:top w:val="nil"/>
                <w:left w:val="nil"/>
                <w:bottom w:val="nil"/>
                <w:right w:val="nil"/>
                <w:between w:val="nil"/>
              </w:pBdr>
              <w:spacing w:before="120" w:after="120"/>
              <w:ind w:left="312" w:hanging="357"/>
              <w:jc w:val="left"/>
              <w:rPr>
                <w:rFonts w:ascii="Arial" w:eastAsia="Arial" w:hAnsi="Arial" w:cs="Arial"/>
                <w:color w:val="000000"/>
                <w:sz w:val="22"/>
                <w:szCs w:val="22"/>
              </w:rPr>
            </w:pPr>
            <w:r w:rsidRPr="00DC2857">
              <w:rPr>
                <w:rFonts w:ascii="Arial" w:eastAsia="Arial" w:hAnsi="Arial" w:cs="Arial"/>
                <w:color w:val="000000"/>
                <w:sz w:val="22"/>
                <w:szCs w:val="22"/>
              </w:rPr>
              <w:t>Optimiser les flux en s’inscrivant dans des boucles locales.</w:t>
            </w:r>
          </w:p>
          <w:p w14:paraId="7BD7F39A" w14:textId="77777777" w:rsidR="00E86162" w:rsidRPr="00DC2857" w:rsidRDefault="00711924">
            <w:pPr>
              <w:numPr>
                <w:ilvl w:val="0"/>
                <w:numId w:val="2"/>
              </w:numPr>
              <w:pBdr>
                <w:top w:val="nil"/>
                <w:left w:val="nil"/>
                <w:bottom w:val="nil"/>
                <w:right w:val="nil"/>
                <w:between w:val="nil"/>
              </w:pBdr>
              <w:spacing w:before="120" w:after="120"/>
              <w:ind w:left="312" w:hanging="357"/>
              <w:jc w:val="left"/>
              <w:rPr>
                <w:rFonts w:ascii="Arial" w:eastAsia="Arial" w:hAnsi="Arial" w:cs="Arial"/>
                <w:color w:val="000000"/>
                <w:sz w:val="22"/>
                <w:szCs w:val="22"/>
              </w:rPr>
            </w:pPr>
            <w:r w:rsidRPr="00DC2857">
              <w:rPr>
                <w:rFonts w:ascii="Arial" w:eastAsia="Arial" w:hAnsi="Arial" w:cs="Arial"/>
                <w:color w:val="000000"/>
                <w:sz w:val="22"/>
                <w:szCs w:val="22"/>
              </w:rPr>
              <w:t>Faire d’Est Ensemble une organisation exemplaire en matière d’économie circulaire.</w:t>
            </w:r>
          </w:p>
        </w:tc>
      </w:tr>
    </w:tbl>
    <w:p w14:paraId="4788503E" w14:textId="77777777" w:rsidR="00E86162" w:rsidRDefault="00711924">
      <w:pPr>
        <w:rPr>
          <w:b/>
          <w:sz w:val="20"/>
          <w:szCs w:val="20"/>
        </w:rPr>
      </w:pPr>
      <w:r>
        <w:br w:type="page"/>
      </w:r>
    </w:p>
    <w:p w14:paraId="1B252DB7" w14:textId="77777777" w:rsidR="00DC2857" w:rsidRDefault="00711924" w:rsidP="00DC2857">
      <w:pPr>
        <w:pStyle w:val="Titrejaune"/>
      </w:pPr>
      <w:r>
        <w:lastRenderedPageBreak/>
        <w:t>Partie 2</w:t>
      </w:r>
    </w:p>
    <w:p w14:paraId="537B327D" w14:textId="3A6A4D53" w:rsidR="00E86162" w:rsidRDefault="00711924" w:rsidP="00DC2857">
      <w:pPr>
        <w:pStyle w:val="Titrejaune"/>
      </w:pPr>
      <w:r>
        <w:t>Rédiger les énoncés</w:t>
      </w:r>
    </w:p>
    <w:p w14:paraId="19F4386D" w14:textId="77777777" w:rsidR="00DC2857" w:rsidRPr="00DC2857" w:rsidRDefault="00DC2857" w:rsidP="002020BA">
      <w:pPr>
        <w:spacing w:line="240" w:lineRule="auto"/>
        <w:jc w:val="both"/>
      </w:pPr>
    </w:p>
    <w:p w14:paraId="384CC8B1" w14:textId="76B85DD2" w:rsidR="00E86162" w:rsidRPr="00DC2857" w:rsidRDefault="00711924" w:rsidP="002020BA">
      <w:pPr>
        <w:spacing w:line="240" w:lineRule="auto"/>
        <w:jc w:val="both"/>
      </w:pPr>
      <w:r w:rsidRPr="00DC2857">
        <w:t>Dans la partie 2 de cet outil, le processus de rédaction des énoncés de la vision et des orientations stratégiques a été divisé en étapes pour simplifier la tâche. Ce travail de réflexion collaborative devrait être fait en groupe, conjointement par l’</w:t>
      </w:r>
      <w:r w:rsidRPr="00DC2857">
        <w:rPr>
          <w:b/>
        </w:rPr>
        <w:t>Équipe de projet</w:t>
      </w:r>
      <w:r w:rsidRPr="00DC2857">
        <w:t xml:space="preserve">, le </w:t>
      </w:r>
      <w:r w:rsidRPr="00DC2857">
        <w:rPr>
          <w:b/>
        </w:rPr>
        <w:t xml:space="preserve">Porteur </w:t>
      </w:r>
      <w:r w:rsidRPr="00DC2857">
        <w:t xml:space="preserve">et le </w:t>
      </w:r>
      <w:r w:rsidRPr="00DC2857">
        <w:rPr>
          <w:b/>
        </w:rPr>
        <w:t xml:space="preserve">Comité </w:t>
      </w:r>
      <w:proofErr w:type="gramStart"/>
      <w:r w:rsidRPr="00DC2857">
        <w:rPr>
          <w:b/>
        </w:rPr>
        <w:t>consultatif</w:t>
      </w:r>
      <w:r w:rsidRPr="00DC2857">
        <w:t>;</w:t>
      </w:r>
      <w:proofErr w:type="gramEnd"/>
      <w:r w:rsidRPr="00DC2857">
        <w:t xml:space="preserve"> il permettra de créer l’énoncé de vision régional.</w:t>
      </w:r>
    </w:p>
    <w:p w14:paraId="6AB11458" w14:textId="49A88B35" w:rsidR="00E86162" w:rsidRPr="002020BA" w:rsidRDefault="00711924" w:rsidP="002020BA">
      <w:pPr>
        <w:pStyle w:val="Soustitre"/>
      </w:pPr>
      <w:r w:rsidRPr="002020BA">
        <w:t>R</w:t>
      </w:r>
      <w:r w:rsidR="00DC2857" w:rsidRPr="002020BA">
        <w:t>É</w:t>
      </w:r>
      <w:r w:rsidRPr="002020BA">
        <w:t>diger l’</w:t>
      </w:r>
      <w:r w:rsidR="00DC2857" w:rsidRPr="002020BA">
        <w:t>É</w:t>
      </w:r>
      <w:r w:rsidRPr="002020BA">
        <w:t>nonc</w:t>
      </w:r>
      <w:r w:rsidR="00DC2857" w:rsidRPr="002020BA">
        <w:t>É</w:t>
      </w:r>
      <w:r w:rsidRPr="002020BA">
        <w:t xml:space="preserve"> de la vision</w:t>
      </w:r>
    </w:p>
    <w:p w14:paraId="2666717A" w14:textId="77777777" w:rsidR="00E86162" w:rsidRPr="00DC2857" w:rsidRDefault="00711924" w:rsidP="002020BA">
      <w:pPr>
        <w:spacing w:after="120" w:line="240" w:lineRule="auto"/>
        <w:jc w:val="both"/>
      </w:pPr>
      <w:r w:rsidRPr="00DC2857">
        <w:t>Voici les grandes étapes :</w:t>
      </w:r>
    </w:p>
    <w:p w14:paraId="431C1250" w14:textId="77777777" w:rsidR="00E86162" w:rsidRPr="00DC2857" w:rsidRDefault="00711924" w:rsidP="002020BA">
      <w:pPr>
        <w:numPr>
          <w:ilvl w:val="0"/>
          <w:numId w:val="6"/>
        </w:numPr>
        <w:pBdr>
          <w:top w:val="nil"/>
          <w:left w:val="nil"/>
          <w:bottom w:val="nil"/>
          <w:right w:val="nil"/>
          <w:between w:val="nil"/>
        </w:pBdr>
        <w:jc w:val="both"/>
        <w:rPr>
          <w:color w:val="000000"/>
          <w:highlight w:val="white"/>
        </w:rPr>
      </w:pPr>
      <w:r w:rsidRPr="00DC2857">
        <w:rPr>
          <w:b/>
          <w:color w:val="000000"/>
        </w:rPr>
        <w:t>Principales PP </w:t>
      </w:r>
      <w:r w:rsidRPr="00DC2857">
        <w:rPr>
          <w:color w:val="000000"/>
        </w:rPr>
        <w:t>: Identifier les principales PP du projet grâce à l’</w:t>
      </w:r>
      <w:r w:rsidRPr="00DC2857">
        <w:rPr>
          <w:color w:val="3D93A1"/>
          <w:highlight w:val="white"/>
        </w:rPr>
        <w:t>Outil 1.2.1 – Tableau d’identification des parties prenantes</w:t>
      </w:r>
      <w:r w:rsidRPr="00DC2857">
        <w:rPr>
          <w:color w:val="E8CE0E"/>
          <w:highlight w:val="white"/>
        </w:rPr>
        <w:t xml:space="preserve"> </w:t>
      </w:r>
      <w:r w:rsidRPr="00DC2857">
        <w:rPr>
          <w:color w:val="000000"/>
          <w:highlight w:val="white"/>
        </w:rPr>
        <w:t xml:space="preserve">actualisé lors de </w:t>
      </w:r>
      <w:r w:rsidRPr="00DC2857">
        <w:rPr>
          <w:color w:val="262626"/>
        </w:rPr>
        <w:t>l’</w:t>
      </w:r>
      <w:r w:rsidRPr="00DC2857">
        <w:rPr>
          <w:b/>
          <w:color w:val="A4A1AB"/>
          <w:highlight w:val="white"/>
        </w:rPr>
        <w:t>Étape 2 – Portrait régional</w:t>
      </w:r>
      <w:r w:rsidRPr="00DC2857">
        <w:rPr>
          <w:color w:val="808000"/>
          <w:highlight w:val="white"/>
        </w:rPr>
        <w:t xml:space="preserve">. </w:t>
      </w:r>
      <w:r w:rsidRPr="00DC2857">
        <w:rPr>
          <w:color w:val="000000"/>
        </w:rPr>
        <w:t>Elles doivent être au cœur de la démarche : elles</w:t>
      </w:r>
      <w:r w:rsidRPr="00DC2857">
        <w:t xml:space="preserve"> adhéreront </w:t>
      </w:r>
      <w:r w:rsidRPr="00DC2857">
        <w:rPr>
          <w:color w:val="000000"/>
        </w:rPr>
        <w:t>plus facilement à la vision si elles participent à sa définition.</w:t>
      </w:r>
    </w:p>
    <w:p w14:paraId="26F75B5C" w14:textId="77777777" w:rsidR="00E86162" w:rsidRPr="00DC2857" w:rsidRDefault="00E86162" w:rsidP="002020BA">
      <w:pPr>
        <w:rPr>
          <w:highlight w:val="white"/>
        </w:rPr>
      </w:pPr>
    </w:p>
    <w:tbl>
      <w:tblPr>
        <w:tblStyle w:val="aff6"/>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6"/>
      </w:tblGrid>
      <w:tr w:rsidR="002020BA" w:rsidRPr="002020BA" w14:paraId="7F989155" w14:textId="77777777" w:rsidTr="002020BA">
        <w:trPr>
          <w:trHeight w:val="952"/>
        </w:trPr>
        <w:tc>
          <w:tcPr>
            <w:tcW w:w="9356" w:type="dxa"/>
            <w:shd w:val="clear" w:color="auto" w:fill="F2CC26"/>
            <w:vAlign w:val="center"/>
          </w:tcPr>
          <w:p w14:paraId="7A789928" w14:textId="6E607C68" w:rsidR="00E86162" w:rsidRPr="002020BA" w:rsidRDefault="00711924">
            <w:pPr>
              <w:rPr>
                <w:rFonts w:ascii="Arial" w:eastAsia="Arial" w:hAnsi="Arial" w:cs="Arial"/>
                <w:b/>
              </w:rPr>
            </w:pPr>
            <w:r w:rsidRPr="002020BA">
              <w:rPr>
                <w:rFonts w:ascii="Arial" w:eastAsia="Arial" w:hAnsi="Arial" w:cs="Arial"/>
                <w:b/>
              </w:rPr>
              <w:t>Principales PP de la FDR</w:t>
            </w:r>
          </w:p>
        </w:tc>
      </w:tr>
      <w:tr w:rsidR="00E86162" w14:paraId="462BFAED" w14:textId="77777777" w:rsidTr="002020BA">
        <w:trPr>
          <w:trHeight w:val="838"/>
        </w:trPr>
        <w:tc>
          <w:tcPr>
            <w:tcW w:w="9356" w:type="dxa"/>
          </w:tcPr>
          <w:p w14:paraId="1B0C692F" w14:textId="60B2ADAF" w:rsidR="00E86162" w:rsidRDefault="00E86162">
            <w:pPr>
              <w:numPr>
                <w:ilvl w:val="0"/>
                <w:numId w:val="7"/>
              </w:numPr>
              <w:spacing w:before="120" w:after="120"/>
              <w:ind w:left="312" w:hanging="357"/>
              <w:rPr>
                <w:rFonts w:ascii="Arial" w:eastAsia="Arial" w:hAnsi="Arial" w:cs="Arial"/>
              </w:rPr>
            </w:pPr>
          </w:p>
        </w:tc>
      </w:tr>
    </w:tbl>
    <w:p w14:paraId="2046418C" w14:textId="77777777" w:rsidR="00E86162" w:rsidRPr="002020BA" w:rsidRDefault="00E86162" w:rsidP="002020BA">
      <w:pPr>
        <w:jc w:val="both"/>
      </w:pPr>
    </w:p>
    <w:p w14:paraId="2D07949E" w14:textId="77777777" w:rsidR="00E86162" w:rsidRPr="002020BA" w:rsidRDefault="00E86162" w:rsidP="002020BA"/>
    <w:p w14:paraId="16DD4AF1" w14:textId="72F4C4AF" w:rsidR="00E86162" w:rsidRPr="002020BA" w:rsidRDefault="00711924" w:rsidP="002020BA">
      <w:pPr>
        <w:numPr>
          <w:ilvl w:val="0"/>
          <w:numId w:val="6"/>
        </w:numPr>
        <w:pBdr>
          <w:top w:val="nil"/>
          <w:left w:val="nil"/>
          <w:bottom w:val="nil"/>
          <w:right w:val="nil"/>
          <w:between w:val="nil"/>
        </w:pBdr>
        <w:jc w:val="both"/>
        <w:rPr>
          <w:sz w:val="24"/>
          <w:szCs w:val="24"/>
        </w:rPr>
      </w:pPr>
      <w:r w:rsidRPr="002020BA">
        <w:rPr>
          <w:b/>
          <w:color w:val="000000"/>
        </w:rPr>
        <w:t>Mots et concepts clés </w:t>
      </w:r>
      <w:r w:rsidRPr="002020BA">
        <w:rPr>
          <w:color w:val="000000"/>
        </w:rPr>
        <w:t xml:space="preserve">: Dresser une liste des mots et concepts </w:t>
      </w:r>
      <w:proofErr w:type="gramStart"/>
      <w:r w:rsidRPr="002020BA">
        <w:rPr>
          <w:color w:val="000000"/>
        </w:rPr>
        <w:t>clés attachés</w:t>
      </w:r>
      <w:proofErr w:type="gramEnd"/>
      <w:r w:rsidRPr="002020BA">
        <w:rPr>
          <w:color w:val="000000"/>
        </w:rPr>
        <w:t xml:space="preserve"> au projet de FDR. Il peut s’agir autant d’activités concrètes (réutiliser, partager, etc.) en lien avec le projet que de notions décrivant la réalité régionale dont il faut absolument tenir compte dans le projet et sa réalisation.</w:t>
      </w:r>
    </w:p>
    <w:p w14:paraId="4290B559" w14:textId="77777777" w:rsidR="00E86162" w:rsidRPr="002020BA" w:rsidRDefault="00E86162" w:rsidP="002020BA">
      <w:pPr>
        <w:rPr>
          <w:highlight w:val="white"/>
        </w:rPr>
      </w:pPr>
    </w:p>
    <w:tbl>
      <w:tblPr>
        <w:tblStyle w:val="aff7"/>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356"/>
      </w:tblGrid>
      <w:tr w:rsidR="002020BA" w:rsidRPr="002020BA" w14:paraId="7D5D1AFA" w14:textId="77777777" w:rsidTr="002020BA">
        <w:trPr>
          <w:trHeight w:val="952"/>
        </w:trPr>
        <w:tc>
          <w:tcPr>
            <w:tcW w:w="9356" w:type="dxa"/>
            <w:shd w:val="clear" w:color="auto" w:fill="F2CC26"/>
            <w:vAlign w:val="center"/>
          </w:tcPr>
          <w:p w14:paraId="448A0135" w14:textId="77777777" w:rsidR="00E86162" w:rsidRPr="002020BA" w:rsidRDefault="00711924">
            <w:pPr>
              <w:rPr>
                <w:rFonts w:ascii="Arial" w:eastAsia="Arial" w:hAnsi="Arial" w:cs="Arial"/>
                <w:b/>
              </w:rPr>
            </w:pPr>
            <w:bookmarkStart w:id="4" w:name="_heading=h.3znysh7" w:colFirst="0" w:colLast="0"/>
            <w:bookmarkEnd w:id="4"/>
            <w:r w:rsidRPr="002020BA">
              <w:rPr>
                <w:rFonts w:ascii="Arial" w:eastAsia="Arial" w:hAnsi="Arial" w:cs="Arial"/>
                <w:b/>
              </w:rPr>
              <w:t>Mots et concepts clés du projet de FDR</w:t>
            </w:r>
          </w:p>
        </w:tc>
      </w:tr>
      <w:tr w:rsidR="00E86162" w14:paraId="0A585CEE" w14:textId="77777777" w:rsidTr="002020BA">
        <w:trPr>
          <w:trHeight w:val="838"/>
        </w:trPr>
        <w:tc>
          <w:tcPr>
            <w:tcW w:w="9356" w:type="dxa"/>
          </w:tcPr>
          <w:p w14:paraId="77E0E905" w14:textId="2E099158" w:rsidR="00E86162" w:rsidRDefault="00E86162">
            <w:pPr>
              <w:numPr>
                <w:ilvl w:val="0"/>
                <w:numId w:val="7"/>
              </w:numPr>
              <w:spacing w:before="120" w:after="120"/>
              <w:ind w:left="312" w:hanging="357"/>
              <w:rPr>
                <w:rFonts w:ascii="Arial" w:eastAsia="Arial" w:hAnsi="Arial" w:cs="Arial"/>
              </w:rPr>
            </w:pPr>
          </w:p>
        </w:tc>
      </w:tr>
    </w:tbl>
    <w:p w14:paraId="7AF1D087" w14:textId="47A05DC7" w:rsidR="002020BA" w:rsidRDefault="002020BA">
      <w:pPr>
        <w:jc w:val="both"/>
        <w:rPr>
          <w:sz w:val="20"/>
          <w:szCs w:val="20"/>
        </w:rPr>
      </w:pPr>
      <w:r>
        <w:rPr>
          <w:sz w:val="20"/>
          <w:szCs w:val="20"/>
        </w:rPr>
        <w:br w:type="page"/>
      </w:r>
    </w:p>
    <w:p w14:paraId="29D9C27B" w14:textId="18DB3682" w:rsidR="00E86162" w:rsidRPr="002020BA" w:rsidRDefault="00711924" w:rsidP="002020BA">
      <w:pPr>
        <w:numPr>
          <w:ilvl w:val="0"/>
          <w:numId w:val="6"/>
        </w:numPr>
        <w:pBdr>
          <w:top w:val="nil"/>
          <w:left w:val="nil"/>
          <w:bottom w:val="nil"/>
          <w:right w:val="nil"/>
          <w:between w:val="nil"/>
        </w:pBdr>
        <w:jc w:val="both"/>
        <w:rPr>
          <w:sz w:val="24"/>
          <w:szCs w:val="24"/>
        </w:rPr>
      </w:pPr>
      <w:r w:rsidRPr="002020BA">
        <w:rPr>
          <w:b/>
          <w:color w:val="000000"/>
        </w:rPr>
        <w:lastRenderedPageBreak/>
        <w:t>Éléments centraux du projet </w:t>
      </w:r>
      <w:r w:rsidRPr="002020BA">
        <w:rPr>
          <w:color w:val="000000"/>
        </w:rPr>
        <w:t>: Répondre à une série de questions portant sur les éléments centraux du projet. Les réponses permettront de mettre en évidence certains aspects incontournables à intégrer dans l’énoncé de la vision.</w:t>
      </w:r>
    </w:p>
    <w:p w14:paraId="2CC6D638" w14:textId="77777777" w:rsidR="002020BA" w:rsidRPr="002020BA" w:rsidRDefault="002020BA" w:rsidP="002020BA">
      <w:pPr>
        <w:pBdr>
          <w:top w:val="nil"/>
          <w:left w:val="nil"/>
          <w:bottom w:val="nil"/>
          <w:right w:val="nil"/>
          <w:between w:val="nil"/>
        </w:pBdr>
        <w:ind w:left="720"/>
        <w:rPr>
          <w:sz w:val="24"/>
          <w:szCs w:val="24"/>
        </w:rPr>
      </w:pPr>
    </w:p>
    <w:tbl>
      <w:tblPr>
        <w:tblStyle w:val="aff8"/>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6"/>
        <w:gridCol w:w="4962"/>
      </w:tblGrid>
      <w:tr w:rsidR="002020BA" w:rsidRPr="002020BA" w14:paraId="21D097E4" w14:textId="77777777" w:rsidTr="008A06D3">
        <w:trPr>
          <w:trHeight w:val="952"/>
        </w:trPr>
        <w:tc>
          <w:tcPr>
            <w:tcW w:w="4536" w:type="dxa"/>
            <w:shd w:val="clear" w:color="auto" w:fill="F2CC26"/>
            <w:vAlign w:val="center"/>
          </w:tcPr>
          <w:p w14:paraId="2206B0D7" w14:textId="77777777" w:rsidR="00E86162" w:rsidRPr="002020BA" w:rsidRDefault="00711924">
            <w:pPr>
              <w:rPr>
                <w:rFonts w:ascii="Arial" w:eastAsia="Arial" w:hAnsi="Arial" w:cs="Arial"/>
                <w:b/>
              </w:rPr>
            </w:pPr>
            <w:r w:rsidRPr="002020BA">
              <w:rPr>
                <w:rFonts w:ascii="Arial" w:eastAsia="Arial" w:hAnsi="Arial" w:cs="Arial"/>
                <w:b/>
              </w:rPr>
              <w:t>Questions</w:t>
            </w:r>
          </w:p>
        </w:tc>
        <w:tc>
          <w:tcPr>
            <w:tcW w:w="4962" w:type="dxa"/>
            <w:shd w:val="clear" w:color="auto" w:fill="F2CC26"/>
            <w:vAlign w:val="center"/>
          </w:tcPr>
          <w:p w14:paraId="75BAFEDF" w14:textId="77777777" w:rsidR="00E86162" w:rsidRPr="002020BA" w:rsidRDefault="00711924">
            <w:pPr>
              <w:rPr>
                <w:rFonts w:ascii="Arial" w:eastAsia="Arial" w:hAnsi="Arial" w:cs="Arial"/>
                <w:b/>
              </w:rPr>
            </w:pPr>
            <w:r w:rsidRPr="002020BA">
              <w:rPr>
                <w:rFonts w:ascii="Arial" w:eastAsia="Arial" w:hAnsi="Arial" w:cs="Arial"/>
                <w:b/>
              </w:rPr>
              <w:t>Réponses</w:t>
            </w:r>
          </w:p>
        </w:tc>
      </w:tr>
      <w:tr w:rsidR="00E86162" w14:paraId="418D2F08" w14:textId="77777777" w:rsidTr="008A06D3">
        <w:trPr>
          <w:trHeight w:val="838"/>
        </w:trPr>
        <w:tc>
          <w:tcPr>
            <w:tcW w:w="4536" w:type="dxa"/>
          </w:tcPr>
          <w:p w14:paraId="5A5FC870" w14:textId="77777777" w:rsidR="00E86162" w:rsidRDefault="00711924">
            <w:pPr>
              <w:spacing w:before="120" w:after="120"/>
              <w:ind w:left="-45"/>
              <w:jc w:val="left"/>
              <w:rPr>
                <w:rFonts w:ascii="Arial" w:eastAsia="Arial" w:hAnsi="Arial" w:cs="Arial"/>
              </w:rPr>
            </w:pPr>
            <w:r>
              <w:rPr>
                <w:rFonts w:ascii="Arial" w:eastAsia="Arial" w:hAnsi="Arial" w:cs="Arial"/>
              </w:rPr>
              <w:t xml:space="preserve">Quel est le but de cette démarche en </w:t>
            </w:r>
            <w:proofErr w:type="gramStart"/>
            <w:r>
              <w:rPr>
                <w:rFonts w:ascii="Arial" w:eastAsia="Arial" w:hAnsi="Arial" w:cs="Arial"/>
              </w:rPr>
              <w:t>EC?</w:t>
            </w:r>
            <w:proofErr w:type="gramEnd"/>
          </w:p>
        </w:tc>
        <w:tc>
          <w:tcPr>
            <w:tcW w:w="4962" w:type="dxa"/>
          </w:tcPr>
          <w:p w14:paraId="27995CE3"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r w:rsidR="00E86162" w14:paraId="35C49551" w14:textId="77777777" w:rsidTr="008A06D3">
        <w:trPr>
          <w:trHeight w:val="838"/>
        </w:trPr>
        <w:tc>
          <w:tcPr>
            <w:tcW w:w="4536" w:type="dxa"/>
          </w:tcPr>
          <w:p w14:paraId="60521315" w14:textId="77777777" w:rsidR="00E86162" w:rsidRDefault="00711924">
            <w:pPr>
              <w:spacing w:before="120" w:after="120"/>
              <w:ind w:left="-45"/>
              <w:jc w:val="left"/>
              <w:rPr>
                <w:rFonts w:ascii="Arial" w:eastAsia="Arial" w:hAnsi="Arial" w:cs="Arial"/>
              </w:rPr>
            </w:pPr>
            <w:r>
              <w:rPr>
                <w:rFonts w:ascii="Arial" w:eastAsia="Arial" w:hAnsi="Arial" w:cs="Arial"/>
              </w:rPr>
              <w:t xml:space="preserve">Quels sont les principaux atouts de la </w:t>
            </w:r>
            <w:proofErr w:type="gramStart"/>
            <w:r>
              <w:rPr>
                <w:rFonts w:ascii="Arial" w:eastAsia="Arial" w:hAnsi="Arial" w:cs="Arial"/>
              </w:rPr>
              <w:t>région?</w:t>
            </w:r>
            <w:proofErr w:type="gramEnd"/>
          </w:p>
        </w:tc>
        <w:tc>
          <w:tcPr>
            <w:tcW w:w="4962" w:type="dxa"/>
          </w:tcPr>
          <w:p w14:paraId="47B2E9EA"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r w:rsidR="00E86162" w14:paraId="200371A5" w14:textId="77777777" w:rsidTr="008A06D3">
        <w:trPr>
          <w:trHeight w:val="838"/>
        </w:trPr>
        <w:tc>
          <w:tcPr>
            <w:tcW w:w="4536" w:type="dxa"/>
          </w:tcPr>
          <w:p w14:paraId="51A12010" w14:textId="77777777" w:rsidR="00E86162" w:rsidRDefault="00711924">
            <w:pPr>
              <w:spacing w:before="120" w:after="120"/>
              <w:ind w:left="-45"/>
              <w:jc w:val="left"/>
              <w:rPr>
                <w:rFonts w:ascii="Arial" w:eastAsia="Arial" w:hAnsi="Arial" w:cs="Arial"/>
              </w:rPr>
            </w:pPr>
            <w:r>
              <w:rPr>
                <w:rFonts w:ascii="Arial" w:eastAsia="Arial" w:hAnsi="Arial" w:cs="Arial"/>
              </w:rPr>
              <w:t xml:space="preserve">Quelles sont les valeurs au cœur de la </w:t>
            </w:r>
            <w:proofErr w:type="gramStart"/>
            <w:r>
              <w:rPr>
                <w:rFonts w:ascii="Arial" w:eastAsia="Arial" w:hAnsi="Arial" w:cs="Arial"/>
              </w:rPr>
              <w:t>démarche?</w:t>
            </w:r>
            <w:proofErr w:type="gramEnd"/>
          </w:p>
        </w:tc>
        <w:tc>
          <w:tcPr>
            <w:tcW w:w="4962" w:type="dxa"/>
          </w:tcPr>
          <w:p w14:paraId="2D57E546"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r w:rsidR="00E86162" w14:paraId="006C4099" w14:textId="77777777" w:rsidTr="008A06D3">
        <w:trPr>
          <w:trHeight w:val="838"/>
        </w:trPr>
        <w:tc>
          <w:tcPr>
            <w:tcW w:w="4536" w:type="dxa"/>
          </w:tcPr>
          <w:p w14:paraId="3F2B77CC" w14:textId="10CED8C4" w:rsidR="00E86162" w:rsidRDefault="00711924">
            <w:pPr>
              <w:spacing w:before="120" w:after="120"/>
              <w:ind w:left="-45"/>
              <w:jc w:val="left"/>
              <w:rPr>
                <w:rFonts w:ascii="Arial" w:eastAsia="Arial" w:hAnsi="Arial" w:cs="Arial"/>
              </w:rPr>
            </w:pPr>
            <w:r>
              <w:rPr>
                <w:rFonts w:ascii="Arial" w:eastAsia="Arial" w:hAnsi="Arial" w:cs="Arial"/>
              </w:rPr>
              <w:t xml:space="preserve">Quels secteurs économiques de la région sont les plus avancés sur le plan des pratiques </w:t>
            </w:r>
            <w:proofErr w:type="gramStart"/>
            <w:r>
              <w:rPr>
                <w:rFonts w:ascii="Arial" w:eastAsia="Arial" w:hAnsi="Arial" w:cs="Arial"/>
              </w:rPr>
              <w:t>circulaires?</w:t>
            </w:r>
            <w:proofErr w:type="gramEnd"/>
          </w:p>
          <w:p w14:paraId="019F9113" w14:textId="77777777" w:rsidR="00E86162" w:rsidRDefault="00711924">
            <w:pPr>
              <w:spacing w:before="120" w:after="120"/>
              <w:ind w:left="-45"/>
              <w:jc w:val="left"/>
              <w:rPr>
                <w:rFonts w:ascii="Arial" w:eastAsia="Arial" w:hAnsi="Arial" w:cs="Arial"/>
              </w:rPr>
            </w:pPr>
            <w:r>
              <w:rPr>
                <w:rFonts w:ascii="Arial" w:eastAsia="Arial" w:hAnsi="Arial" w:cs="Arial"/>
              </w:rPr>
              <w:t xml:space="preserve">Lesquels devraient être </w:t>
            </w:r>
            <w:proofErr w:type="gramStart"/>
            <w:r>
              <w:rPr>
                <w:rFonts w:ascii="Arial" w:eastAsia="Arial" w:hAnsi="Arial" w:cs="Arial"/>
              </w:rPr>
              <w:t>privilégiés?</w:t>
            </w:r>
            <w:proofErr w:type="gramEnd"/>
          </w:p>
        </w:tc>
        <w:tc>
          <w:tcPr>
            <w:tcW w:w="4962" w:type="dxa"/>
          </w:tcPr>
          <w:p w14:paraId="618D2FB6"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r w:rsidR="00E86162" w14:paraId="1C5EFC07" w14:textId="77777777" w:rsidTr="008A06D3">
        <w:trPr>
          <w:trHeight w:val="838"/>
        </w:trPr>
        <w:tc>
          <w:tcPr>
            <w:tcW w:w="4536" w:type="dxa"/>
          </w:tcPr>
          <w:p w14:paraId="53F6E69A" w14:textId="77777777" w:rsidR="00E86162" w:rsidRDefault="00711924">
            <w:pPr>
              <w:spacing w:before="120" w:after="120"/>
              <w:ind w:left="-45"/>
              <w:jc w:val="left"/>
              <w:rPr>
                <w:rFonts w:ascii="Arial" w:eastAsia="Arial" w:hAnsi="Arial" w:cs="Arial"/>
              </w:rPr>
            </w:pPr>
            <w:r>
              <w:rPr>
                <w:rFonts w:ascii="Arial" w:eastAsia="Arial" w:hAnsi="Arial" w:cs="Arial"/>
              </w:rPr>
              <w:t xml:space="preserve">Quelles cultures et approches devraient être privilégiées dans le cadre de la </w:t>
            </w:r>
            <w:proofErr w:type="gramStart"/>
            <w:r>
              <w:rPr>
                <w:rFonts w:ascii="Arial" w:eastAsia="Arial" w:hAnsi="Arial" w:cs="Arial"/>
              </w:rPr>
              <w:t>démarche?</w:t>
            </w:r>
            <w:proofErr w:type="gramEnd"/>
          </w:p>
        </w:tc>
        <w:tc>
          <w:tcPr>
            <w:tcW w:w="4962" w:type="dxa"/>
          </w:tcPr>
          <w:p w14:paraId="41F9848D"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r w:rsidR="00E86162" w14:paraId="138E99FF" w14:textId="77777777" w:rsidTr="008A06D3">
        <w:trPr>
          <w:trHeight w:val="838"/>
        </w:trPr>
        <w:tc>
          <w:tcPr>
            <w:tcW w:w="4536" w:type="dxa"/>
          </w:tcPr>
          <w:p w14:paraId="02F7541D" w14:textId="77777777" w:rsidR="00E86162" w:rsidRDefault="00711924">
            <w:pPr>
              <w:spacing w:before="120" w:after="120"/>
              <w:ind w:left="-45"/>
              <w:jc w:val="left"/>
              <w:rPr>
                <w:rFonts w:ascii="Arial" w:eastAsia="Arial" w:hAnsi="Arial" w:cs="Arial"/>
              </w:rPr>
            </w:pPr>
            <w:r>
              <w:rPr>
                <w:rFonts w:ascii="Arial" w:eastAsia="Arial" w:hAnsi="Arial" w:cs="Arial"/>
              </w:rPr>
              <w:t xml:space="preserve">Quels partenariats clés permettront de faire avancer la région en matière </w:t>
            </w:r>
            <w:proofErr w:type="gramStart"/>
            <w:r>
              <w:rPr>
                <w:rFonts w:ascii="Arial" w:eastAsia="Arial" w:hAnsi="Arial" w:cs="Arial"/>
              </w:rPr>
              <w:t>d’EC?</w:t>
            </w:r>
            <w:proofErr w:type="gramEnd"/>
          </w:p>
        </w:tc>
        <w:tc>
          <w:tcPr>
            <w:tcW w:w="4962" w:type="dxa"/>
          </w:tcPr>
          <w:p w14:paraId="65629F85"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r w:rsidR="00E86162" w14:paraId="721C37F6" w14:textId="77777777" w:rsidTr="008A06D3">
        <w:trPr>
          <w:trHeight w:val="838"/>
        </w:trPr>
        <w:tc>
          <w:tcPr>
            <w:tcW w:w="4536" w:type="dxa"/>
          </w:tcPr>
          <w:p w14:paraId="60B68C99" w14:textId="77777777" w:rsidR="00E86162" w:rsidRDefault="00711924">
            <w:pPr>
              <w:spacing w:before="120" w:after="120"/>
              <w:ind w:left="-45"/>
              <w:jc w:val="left"/>
              <w:rPr>
                <w:rFonts w:ascii="Arial" w:eastAsia="Arial" w:hAnsi="Arial" w:cs="Arial"/>
              </w:rPr>
            </w:pPr>
            <w:r>
              <w:rPr>
                <w:rFonts w:ascii="Arial" w:eastAsia="Arial" w:hAnsi="Arial" w:cs="Arial"/>
              </w:rPr>
              <w:t xml:space="preserve">Quels rôles les groupes d’intérêt, comme les groupes environnementaux et citoyens, peuvent-ils jouer pour aider à mettre en œuvre un écosystème économique plus </w:t>
            </w:r>
            <w:proofErr w:type="gramStart"/>
            <w:r>
              <w:rPr>
                <w:rFonts w:ascii="Arial" w:eastAsia="Arial" w:hAnsi="Arial" w:cs="Arial"/>
              </w:rPr>
              <w:t>circulaire?</w:t>
            </w:r>
            <w:proofErr w:type="gramEnd"/>
          </w:p>
        </w:tc>
        <w:tc>
          <w:tcPr>
            <w:tcW w:w="4962" w:type="dxa"/>
          </w:tcPr>
          <w:p w14:paraId="563CB5ED"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r w:rsidR="00E86162" w14:paraId="1645FA04" w14:textId="77777777" w:rsidTr="008A06D3">
        <w:trPr>
          <w:trHeight w:val="838"/>
        </w:trPr>
        <w:tc>
          <w:tcPr>
            <w:tcW w:w="4536" w:type="dxa"/>
          </w:tcPr>
          <w:p w14:paraId="3F9BC3AA" w14:textId="3A16338E" w:rsidR="00E86162" w:rsidRDefault="00711924">
            <w:pPr>
              <w:spacing w:before="120" w:after="120"/>
              <w:ind w:left="-45"/>
              <w:rPr>
                <w:rFonts w:ascii="Arial" w:eastAsia="Arial" w:hAnsi="Arial" w:cs="Arial"/>
              </w:rPr>
            </w:pPr>
            <w:r>
              <w:rPr>
                <w:rFonts w:ascii="Arial" w:eastAsia="Arial" w:hAnsi="Arial" w:cs="Arial"/>
              </w:rPr>
              <w:t>Comment les porteurs de projet et les principales PP</w:t>
            </w:r>
            <w:r w:rsidR="00A67E94">
              <w:rPr>
                <w:rFonts w:ascii="Arial" w:eastAsia="Arial" w:hAnsi="Arial" w:cs="Arial"/>
              </w:rPr>
              <w:t xml:space="preserve"> </w:t>
            </w:r>
            <w:r>
              <w:rPr>
                <w:rFonts w:ascii="Arial" w:eastAsia="Arial" w:hAnsi="Arial" w:cs="Arial"/>
              </w:rPr>
              <w:t xml:space="preserve">visualisent-ils l’écosystème régional dans cinq, dix ou quinze </w:t>
            </w:r>
            <w:proofErr w:type="gramStart"/>
            <w:r>
              <w:rPr>
                <w:rFonts w:ascii="Arial" w:eastAsia="Arial" w:hAnsi="Arial" w:cs="Arial"/>
              </w:rPr>
              <w:t>ans?</w:t>
            </w:r>
            <w:proofErr w:type="gramEnd"/>
          </w:p>
        </w:tc>
        <w:tc>
          <w:tcPr>
            <w:tcW w:w="4962" w:type="dxa"/>
          </w:tcPr>
          <w:p w14:paraId="55AE2ECB" w14:textId="77777777" w:rsidR="00E86162" w:rsidRDefault="00E86162">
            <w:pPr>
              <w:numPr>
                <w:ilvl w:val="0"/>
                <w:numId w:val="7"/>
              </w:numPr>
              <w:pBdr>
                <w:top w:val="nil"/>
                <w:left w:val="nil"/>
                <w:bottom w:val="nil"/>
                <w:right w:val="nil"/>
                <w:between w:val="nil"/>
              </w:pBdr>
              <w:spacing w:before="120" w:after="120"/>
              <w:ind w:left="315"/>
              <w:rPr>
                <w:rFonts w:ascii="Arial" w:eastAsia="Arial" w:hAnsi="Arial" w:cs="Arial"/>
                <w:color w:val="000000"/>
              </w:rPr>
            </w:pPr>
          </w:p>
        </w:tc>
      </w:tr>
    </w:tbl>
    <w:p w14:paraId="15951DE2" w14:textId="607361F3" w:rsidR="002020BA" w:rsidRDefault="002020BA">
      <w:pPr>
        <w:jc w:val="both"/>
        <w:rPr>
          <w:sz w:val="20"/>
          <w:szCs w:val="20"/>
        </w:rPr>
      </w:pPr>
    </w:p>
    <w:p w14:paraId="458198F2" w14:textId="77777777" w:rsidR="002020BA" w:rsidRDefault="002020BA">
      <w:pPr>
        <w:rPr>
          <w:sz w:val="20"/>
          <w:szCs w:val="20"/>
        </w:rPr>
      </w:pPr>
      <w:r>
        <w:rPr>
          <w:sz w:val="20"/>
          <w:szCs w:val="20"/>
        </w:rPr>
        <w:br w:type="page"/>
      </w:r>
    </w:p>
    <w:p w14:paraId="14A823F2" w14:textId="17D54473" w:rsidR="00E86162" w:rsidRPr="002020BA" w:rsidRDefault="00711924" w:rsidP="002020BA">
      <w:pPr>
        <w:numPr>
          <w:ilvl w:val="0"/>
          <w:numId w:val="6"/>
        </w:numPr>
        <w:pBdr>
          <w:top w:val="nil"/>
          <w:left w:val="nil"/>
          <w:bottom w:val="nil"/>
          <w:right w:val="nil"/>
          <w:between w:val="nil"/>
        </w:pBdr>
        <w:jc w:val="both"/>
        <w:rPr>
          <w:sz w:val="24"/>
          <w:szCs w:val="24"/>
        </w:rPr>
      </w:pPr>
      <w:r w:rsidRPr="002020BA">
        <w:rPr>
          <w:b/>
          <w:color w:val="000000"/>
        </w:rPr>
        <w:lastRenderedPageBreak/>
        <w:t>Ordre d’importance :</w:t>
      </w:r>
      <w:r w:rsidRPr="002020BA">
        <w:rPr>
          <w:color w:val="000000"/>
        </w:rPr>
        <w:t xml:space="preserve"> Classer les réponses obtenues par ordre d’importance. Les éléments clés de l’énoncé de la vision devraient se trouver parmi les concepts nommés et les réponses données. Il s’agit ici de les mettre en ordre selon leur importance, ou leur type, pour pouvoir les utiliser plus aisément dans la rédaction à venir.</w:t>
      </w:r>
    </w:p>
    <w:p w14:paraId="1177C146" w14:textId="77777777" w:rsidR="00E86162" w:rsidRPr="002020BA" w:rsidRDefault="00E86162" w:rsidP="002020BA">
      <w:pPr>
        <w:pBdr>
          <w:top w:val="nil"/>
          <w:left w:val="nil"/>
          <w:bottom w:val="nil"/>
          <w:right w:val="nil"/>
          <w:between w:val="nil"/>
        </w:pBdr>
        <w:ind w:left="720"/>
        <w:jc w:val="both"/>
        <w:rPr>
          <w:sz w:val="24"/>
          <w:szCs w:val="24"/>
        </w:rPr>
      </w:pPr>
    </w:p>
    <w:p w14:paraId="3A3E6369" w14:textId="77777777" w:rsidR="00E86162" w:rsidRPr="002020BA" w:rsidRDefault="00711924" w:rsidP="002020BA">
      <w:pPr>
        <w:numPr>
          <w:ilvl w:val="0"/>
          <w:numId w:val="6"/>
        </w:numPr>
        <w:pBdr>
          <w:top w:val="nil"/>
          <w:left w:val="nil"/>
          <w:bottom w:val="nil"/>
          <w:right w:val="nil"/>
          <w:between w:val="nil"/>
        </w:pBdr>
        <w:jc w:val="both"/>
        <w:rPr>
          <w:color w:val="000000"/>
        </w:rPr>
      </w:pPr>
      <w:r w:rsidRPr="002020BA">
        <w:rPr>
          <w:b/>
          <w:color w:val="000000"/>
        </w:rPr>
        <w:t>Première ébauche de l’énoncé de la vision :</w:t>
      </w:r>
      <w:r w:rsidRPr="002020BA">
        <w:rPr>
          <w:color w:val="000000"/>
        </w:rPr>
        <w:t xml:space="preserve"> Rédiger une première ébauche de l’énoncé de la vision. Se </w:t>
      </w:r>
      <w:r w:rsidRPr="002020BA">
        <w:t>limiter</w:t>
      </w:r>
      <w:r w:rsidRPr="002020BA">
        <w:rPr>
          <w:color w:val="000000"/>
        </w:rPr>
        <w:t xml:space="preserve"> à quelques phrases et tenter d’inclure les éléments essentiels qui ressortent du classement.</w:t>
      </w:r>
    </w:p>
    <w:p w14:paraId="067889D7" w14:textId="77777777" w:rsidR="00E86162" w:rsidRPr="002020BA" w:rsidRDefault="00E86162" w:rsidP="002020BA">
      <w:pPr>
        <w:pBdr>
          <w:top w:val="nil"/>
          <w:left w:val="nil"/>
          <w:bottom w:val="nil"/>
          <w:right w:val="nil"/>
          <w:between w:val="nil"/>
        </w:pBdr>
        <w:ind w:left="720"/>
        <w:jc w:val="both"/>
        <w:rPr>
          <w:color w:val="000000"/>
        </w:rPr>
      </w:pPr>
    </w:p>
    <w:p w14:paraId="594CB6A6" w14:textId="6BAF9CA8" w:rsidR="00E86162" w:rsidRPr="002020BA" w:rsidRDefault="00711924" w:rsidP="002020BA">
      <w:pPr>
        <w:numPr>
          <w:ilvl w:val="0"/>
          <w:numId w:val="6"/>
        </w:numPr>
        <w:pBdr>
          <w:top w:val="nil"/>
          <w:left w:val="nil"/>
          <w:bottom w:val="nil"/>
          <w:right w:val="nil"/>
          <w:between w:val="nil"/>
        </w:pBdr>
        <w:jc w:val="both"/>
        <w:rPr>
          <w:sz w:val="24"/>
          <w:szCs w:val="24"/>
        </w:rPr>
      </w:pPr>
      <w:r w:rsidRPr="002020BA">
        <w:rPr>
          <w:b/>
          <w:color w:val="000000"/>
        </w:rPr>
        <w:t>Rédaction de l’énoncé de la vision :</w:t>
      </w:r>
      <w:r w:rsidRPr="002020BA">
        <w:rPr>
          <w:color w:val="000000"/>
        </w:rPr>
        <w:t xml:space="preserve"> Relire la première version de l’énoncé pour s’assurer qu’il respecte les bonnes pratiques présentées précédemment dans l’outil (énoncé concis, réaliste, inspirant, rassembleur, orienté vers la situation souhaitée et reflétant le changement à opérer).</w:t>
      </w:r>
    </w:p>
    <w:p w14:paraId="6F07EB53" w14:textId="77777777" w:rsidR="00E86162" w:rsidRPr="002020BA" w:rsidRDefault="00E86162" w:rsidP="002020BA">
      <w:pPr>
        <w:pBdr>
          <w:top w:val="nil"/>
          <w:left w:val="nil"/>
          <w:bottom w:val="nil"/>
          <w:right w:val="nil"/>
          <w:between w:val="nil"/>
        </w:pBdr>
        <w:ind w:left="720"/>
        <w:jc w:val="both"/>
        <w:rPr>
          <w:color w:val="000000"/>
        </w:rPr>
      </w:pPr>
    </w:p>
    <w:p w14:paraId="1DDBB402" w14:textId="77777777" w:rsidR="00E86162" w:rsidRPr="002020BA" w:rsidRDefault="00711924" w:rsidP="002020BA">
      <w:pPr>
        <w:numPr>
          <w:ilvl w:val="0"/>
          <w:numId w:val="6"/>
        </w:numPr>
        <w:pBdr>
          <w:top w:val="nil"/>
          <w:left w:val="nil"/>
          <w:bottom w:val="nil"/>
          <w:right w:val="nil"/>
          <w:between w:val="nil"/>
        </w:pBdr>
        <w:jc w:val="both"/>
        <w:rPr>
          <w:sz w:val="24"/>
          <w:szCs w:val="24"/>
        </w:rPr>
      </w:pPr>
      <w:r w:rsidRPr="002020BA">
        <w:rPr>
          <w:b/>
          <w:color w:val="000000"/>
        </w:rPr>
        <w:t>Révision de l’énoncé de la vision :</w:t>
      </w:r>
      <w:r w:rsidRPr="002020BA">
        <w:rPr>
          <w:color w:val="000000"/>
        </w:rPr>
        <w:t xml:space="preserve"> Retravailler l’énoncé de manière à garder seulement l’essentiel. Au terme de ce processus de révision, l’énoncé de la vision devrait être plus court et contenir une à deux phrases, ou moins de 50 mots.</w:t>
      </w:r>
    </w:p>
    <w:p w14:paraId="51064FF9" w14:textId="368017BD" w:rsidR="00E86162" w:rsidRPr="002020BA" w:rsidRDefault="00711924" w:rsidP="002020BA">
      <w:pPr>
        <w:pStyle w:val="Soustitre"/>
      </w:pPr>
      <w:r w:rsidRPr="002020BA">
        <w:t>R</w:t>
      </w:r>
      <w:r w:rsidR="002020BA">
        <w:t>É</w:t>
      </w:r>
      <w:r w:rsidRPr="002020BA">
        <w:t xml:space="preserve">diger les </w:t>
      </w:r>
      <w:r w:rsidR="002020BA">
        <w:t>É</w:t>
      </w:r>
      <w:r w:rsidRPr="002020BA">
        <w:t>nonc</w:t>
      </w:r>
      <w:r w:rsidR="002020BA">
        <w:t>É</w:t>
      </w:r>
      <w:r w:rsidRPr="002020BA">
        <w:t>s des orientations strat</w:t>
      </w:r>
      <w:r w:rsidR="002020BA">
        <w:t>É</w:t>
      </w:r>
      <w:r w:rsidRPr="002020BA">
        <w:t>giques</w:t>
      </w:r>
    </w:p>
    <w:p w14:paraId="7A36DA25" w14:textId="77777777" w:rsidR="00E86162" w:rsidRPr="002020BA" w:rsidRDefault="00711924">
      <w:pPr>
        <w:spacing w:before="120" w:after="120" w:line="240" w:lineRule="auto"/>
        <w:jc w:val="both"/>
      </w:pPr>
      <w:r w:rsidRPr="002020BA">
        <w:t>Voici les grandes étapes :</w:t>
      </w:r>
    </w:p>
    <w:p w14:paraId="255BC3B7" w14:textId="0112F235" w:rsidR="00E86162" w:rsidRDefault="00711924">
      <w:pPr>
        <w:numPr>
          <w:ilvl w:val="0"/>
          <w:numId w:val="5"/>
        </w:numPr>
        <w:pBdr>
          <w:top w:val="nil"/>
          <w:left w:val="nil"/>
          <w:bottom w:val="nil"/>
          <w:right w:val="nil"/>
          <w:between w:val="nil"/>
        </w:pBdr>
        <w:rPr>
          <w:color w:val="000000"/>
        </w:rPr>
      </w:pPr>
      <w:r w:rsidRPr="002020BA">
        <w:rPr>
          <w:b/>
          <w:color w:val="000000"/>
        </w:rPr>
        <w:t>Axes d’intervention possibles</w:t>
      </w:r>
      <w:r w:rsidRPr="002020BA">
        <w:rPr>
          <w:color w:val="000000"/>
        </w:rPr>
        <w:t> : Reprendre les éléments clés qui sont ressortis lors de la rédaction de l’énoncé de la vision pour voir lesquels correspondent, par exemple, aux grands principes de l’OCDE.</w:t>
      </w:r>
    </w:p>
    <w:p w14:paraId="4EE29014" w14:textId="77777777" w:rsidR="002020BA" w:rsidRPr="002020BA" w:rsidRDefault="002020BA" w:rsidP="002020BA">
      <w:pPr>
        <w:pBdr>
          <w:top w:val="nil"/>
          <w:left w:val="nil"/>
          <w:bottom w:val="nil"/>
          <w:right w:val="nil"/>
          <w:between w:val="nil"/>
        </w:pBdr>
        <w:ind w:left="720"/>
        <w:rPr>
          <w:color w:val="000000"/>
        </w:rPr>
      </w:pPr>
    </w:p>
    <w:tbl>
      <w:tblPr>
        <w:tblStyle w:val="aff9"/>
        <w:tblW w:w="949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09"/>
        <w:gridCol w:w="4984"/>
      </w:tblGrid>
      <w:tr w:rsidR="002020BA" w:rsidRPr="002020BA" w14:paraId="5345383F" w14:textId="77777777" w:rsidTr="008A06D3">
        <w:tc>
          <w:tcPr>
            <w:tcW w:w="4509" w:type="dxa"/>
            <w:shd w:val="clear" w:color="auto" w:fill="F2CC26"/>
            <w:vAlign w:val="center"/>
          </w:tcPr>
          <w:p w14:paraId="4C700A23" w14:textId="77777777" w:rsidR="00E86162" w:rsidRPr="002020BA" w:rsidRDefault="00711924">
            <w:pPr>
              <w:spacing w:before="240" w:after="240"/>
              <w:jc w:val="left"/>
              <w:rPr>
                <w:rFonts w:ascii="Arial" w:eastAsia="Arial" w:hAnsi="Arial" w:cs="Arial"/>
                <w:b/>
              </w:rPr>
            </w:pPr>
            <w:r w:rsidRPr="002020BA">
              <w:rPr>
                <w:rFonts w:ascii="Arial" w:eastAsia="Arial" w:hAnsi="Arial" w:cs="Arial"/>
                <w:b/>
              </w:rPr>
              <w:t>Augmenter l’intérêt et la sensibilité à l’EC</w:t>
            </w:r>
          </w:p>
        </w:tc>
        <w:tc>
          <w:tcPr>
            <w:tcW w:w="4984" w:type="dxa"/>
            <w:shd w:val="clear" w:color="auto" w:fill="F2CC26"/>
            <w:vAlign w:val="center"/>
          </w:tcPr>
          <w:p w14:paraId="0141C593" w14:textId="77777777" w:rsidR="00E86162" w:rsidRPr="002020BA" w:rsidRDefault="00711924">
            <w:pPr>
              <w:spacing w:before="240" w:after="240"/>
              <w:jc w:val="left"/>
              <w:rPr>
                <w:rFonts w:ascii="Arial" w:eastAsia="Arial" w:hAnsi="Arial" w:cs="Arial"/>
                <w:b/>
              </w:rPr>
            </w:pPr>
            <w:r w:rsidRPr="002020BA">
              <w:rPr>
                <w:rFonts w:ascii="Arial" w:eastAsia="Arial" w:hAnsi="Arial" w:cs="Arial"/>
                <w:b/>
              </w:rPr>
              <w:t>Donner de l’espace aux initiatives en EC</w:t>
            </w:r>
          </w:p>
        </w:tc>
      </w:tr>
      <w:tr w:rsidR="00E86162" w14:paraId="51E03615" w14:textId="77777777" w:rsidTr="008A06D3">
        <w:tc>
          <w:tcPr>
            <w:tcW w:w="4509" w:type="dxa"/>
            <w:vAlign w:val="center"/>
          </w:tcPr>
          <w:p w14:paraId="218BAA4C" w14:textId="77777777" w:rsidR="00E86162" w:rsidRDefault="00E86162">
            <w:pPr>
              <w:spacing w:before="240" w:after="240"/>
              <w:jc w:val="left"/>
              <w:rPr>
                <w:rFonts w:ascii="Arial" w:eastAsia="Arial" w:hAnsi="Arial" w:cs="Arial"/>
              </w:rPr>
            </w:pPr>
          </w:p>
        </w:tc>
        <w:tc>
          <w:tcPr>
            <w:tcW w:w="4984" w:type="dxa"/>
            <w:vAlign w:val="center"/>
          </w:tcPr>
          <w:p w14:paraId="0610E9A6" w14:textId="77777777" w:rsidR="00E86162" w:rsidRDefault="00E86162">
            <w:pPr>
              <w:spacing w:before="240" w:after="240"/>
              <w:jc w:val="left"/>
              <w:rPr>
                <w:rFonts w:ascii="Arial" w:eastAsia="Arial" w:hAnsi="Arial" w:cs="Arial"/>
              </w:rPr>
            </w:pPr>
          </w:p>
        </w:tc>
      </w:tr>
      <w:tr w:rsidR="002020BA" w:rsidRPr="002020BA" w14:paraId="52075035" w14:textId="77777777" w:rsidTr="008A06D3">
        <w:tc>
          <w:tcPr>
            <w:tcW w:w="4509" w:type="dxa"/>
            <w:shd w:val="clear" w:color="auto" w:fill="F2CC26"/>
            <w:vAlign w:val="center"/>
          </w:tcPr>
          <w:p w14:paraId="2187A6FC" w14:textId="77777777" w:rsidR="00E86162" w:rsidRPr="002020BA" w:rsidRDefault="00711924">
            <w:pPr>
              <w:spacing w:before="240" w:after="240"/>
              <w:jc w:val="left"/>
              <w:rPr>
                <w:rFonts w:ascii="Arial" w:eastAsia="Arial" w:hAnsi="Arial" w:cs="Arial"/>
                <w:b/>
              </w:rPr>
            </w:pPr>
            <w:r w:rsidRPr="002020BA">
              <w:rPr>
                <w:rFonts w:ascii="Arial" w:eastAsia="Arial" w:hAnsi="Arial" w:cs="Arial"/>
                <w:b/>
              </w:rPr>
              <w:t>Susciter et provoquer l’action et les initiatives</w:t>
            </w:r>
          </w:p>
        </w:tc>
        <w:tc>
          <w:tcPr>
            <w:tcW w:w="4984" w:type="dxa"/>
            <w:shd w:val="clear" w:color="auto" w:fill="F2CC26"/>
            <w:vAlign w:val="center"/>
          </w:tcPr>
          <w:p w14:paraId="6C1DE5D7" w14:textId="77777777" w:rsidR="00E86162" w:rsidRPr="002020BA" w:rsidRDefault="00711924">
            <w:pPr>
              <w:spacing w:before="240" w:after="240"/>
              <w:jc w:val="left"/>
              <w:rPr>
                <w:rFonts w:ascii="Arial" w:eastAsia="Arial" w:hAnsi="Arial" w:cs="Arial"/>
                <w:b/>
              </w:rPr>
            </w:pPr>
            <w:r w:rsidRPr="002020BA">
              <w:rPr>
                <w:rFonts w:ascii="Arial" w:eastAsia="Arial" w:hAnsi="Arial" w:cs="Arial"/>
                <w:b/>
              </w:rPr>
              <w:t>Mesurer la performance et évaluer les résultats</w:t>
            </w:r>
          </w:p>
        </w:tc>
      </w:tr>
      <w:tr w:rsidR="00E86162" w14:paraId="69D80E5D" w14:textId="77777777" w:rsidTr="008A06D3">
        <w:tc>
          <w:tcPr>
            <w:tcW w:w="4509" w:type="dxa"/>
            <w:vAlign w:val="center"/>
          </w:tcPr>
          <w:p w14:paraId="7D9CD8B1" w14:textId="77777777" w:rsidR="00E86162" w:rsidRDefault="00E86162">
            <w:pPr>
              <w:spacing w:before="240" w:after="240"/>
              <w:jc w:val="left"/>
              <w:rPr>
                <w:rFonts w:ascii="Arial" w:eastAsia="Arial" w:hAnsi="Arial" w:cs="Arial"/>
              </w:rPr>
            </w:pPr>
          </w:p>
        </w:tc>
        <w:tc>
          <w:tcPr>
            <w:tcW w:w="4984" w:type="dxa"/>
            <w:vAlign w:val="center"/>
          </w:tcPr>
          <w:p w14:paraId="0531FD88" w14:textId="77777777" w:rsidR="00E86162" w:rsidRDefault="00E86162">
            <w:pPr>
              <w:spacing w:before="240" w:after="240"/>
              <w:jc w:val="left"/>
              <w:rPr>
                <w:rFonts w:ascii="Arial" w:eastAsia="Arial" w:hAnsi="Arial" w:cs="Arial"/>
              </w:rPr>
            </w:pPr>
          </w:p>
        </w:tc>
      </w:tr>
    </w:tbl>
    <w:p w14:paraId="20ABFC53" w14:textId="05528D1F" w:rsidR="002020BA" w:rsidRDefault="002020BA">
      <w:pPr>
        <w:jc w:val="both"/>
        <w:rPr>
          <w:sz w:val="20"/>
          <w:szCs w:val="20"/>
        </w:rPr>
      </w:pPr>
    </w:p>
    <w:p w14:paraId="4AFC805B" w14:textId="77777777" w:rsidR="002020BA" w:rsidRDefault="002020BA">
      <w:pPr>
        <w:rPr>
          <w:sz w:val="20"/>
          <w:szCs w:val="20"/>
        </w:rPr>
      </w:pPr>
      <w:r>
        <w:rPr>
          <w:sz w:val="20"/>
          <w:szCs w:val="20"/>
        </w:rPr>
        <w:br w:type="page"/>
      </w:r>
    </w:p>
    <w:p w14:paraId="00FBBD45" w14:textId="77777777" w:rsidR="00E86162" w:rsidRPr="002020BA" w:rsidRDefault="00711924" w:rsidP="002020BA">
      <w:pPr>
        <w:numPr>
          <w:ilvl w:val="0"/>
          <w:numId w:val="5"/>
        </w:numPr>
        <w:pBdr>
          <w:top w:val="nil"/>
          <w:left w:val="nil"/>
          <w:bottom w:val="nil"/>
          <w:right w:val="nil"/>
          <w:between w:val="nil"/>
        </w:pBdr>
        <w:jc w:val="both"/>
        <w:rPr>
          <w:color w:val="000000"/>
        </w:rPr>
      </w:pPr>
      <w:r w:rsidRPr="002020BA">
        <w:rPr>
          <w:b/>
          <w:color w:val="000000"/>
        </w:rPr>
        <w:lastRenderedPageBreak/>
        <w:t>Choix des orientations :</w:t>
      </w:r>
      <w:r w:rsidRPr="002020BA">
        <w:rPr>
          <w:color w:val="000000"/>
        </w:rPr>
        <w:t xml:space="preserve"> Sélectionner les axes prioritaires (3 à 5) pour le territoire : ils seront l’essence des énoncés des orientations stratégiques.</w:t>
      </w:r>
    </w:p>
    <w:p w14:paraId="5498AD9F" w14:textId="77777777" w:rsidR="00E86162" w:rsidRPr="002020BA" w:rsidRDefault="00E86162" w:rsidP="002020BA">
      <w:pPr>
        <w:jc w:val="both"/>
      </w:pPr>
    </w:p>
    <w:p w14:paraId="00499764" w14:textId="43872764" w:rsidR="00E86162" w:rsidRPr="002020BA" w:rsidRDefault="00711924" w:rsidP="002020BA">
      <w:pPr>
        <w:numPr>
          <w:ilvl w:val="0"/>
          <w:numId w:val="5"/>
        </w:numPr>
        <w:pBdr>
          <w:top w:val="nil"/>
          <w:left w:val="nil"/>
          <w:bottom w:val="nil"/>
          <w:right w:val="nil"/>
          <w:between w:val="nil"/>
        </w:pBdr>
        <w:jc w:val="both"/>
      </w:pPr>
      <w:r w:rsidRPr="002020BA">
        <w:rPr>
          <w:b/>
          <w:color w:val="000000"/>
        </w:rPr>
        <w:t>Rédaction des orientations stratégiques :</w:t>
      </w:r>
      <w:r w:rsidRPr="002020BA">
        <w:rPr>
          <w:color w:val="000000"/>
        </w:rPr>
        <w:t xml:space="preserve"> Rédiger chaque énoncé de manière à y intégrer un verbe d’action clair (chaque verbe d’action devrait mener les PP ciblées vers l’atteinte d’un objectif). Les énoncés obtenus serviront à réaliser l’</w:t>
      </w:r>
      <w:r w:rsidRPr="002020BA">
        <w:rPr>
          <w:color w:val="F2CC26"/>
        </w:rPr>
        <w:t xml:space="preserve">Activité 3.3 – Définir les objectifs et </w:t>
      </w:r>
      <w:r w:rsidR="008B64B2" w:rsidRPr="002020BA">
        <w:rPr>
          <w:color w:val="F2CC26"/>
        </w:rPr>
        <w:t>l</w:t>
      </w:r>
      <w:r w:rsidRPr="002020BA">
        <w:rPr>
          <w:color w:val="F2CC26"/>
        </w:rPr>
        <w:t>es indicateurs</w:t>
      </w:r>
      <w:r w:rsidRPr="002020BA">
        <w:rPr>
          <w:color w:val="000000"/>
        </w:rPr>
        <w:t>.</w:t>
      </w:r>
    </w:p>
    <w:p w14:paraId="1C960D41" w14:textId="7C94E482" w:rsidR="002020BA" w:rsidRDefault="002020BA">
      <w:pPr>
        <w:rPr>
          <w:b/>
        </w:rPr>
      </w:pPr>
    </w:p>
    <w:p w14:paraId="770F55A5" w14:textId="2255960D" w:rsidR="008A06D3" w:rsidRDefault="008A06D3">
      <w:pPr>
        <w:rPr>
          <w:b/>
        </w:rPr>
      </w:pPr>
      <w:r>
        <w:rPr>
          <w:b/>
        </w:rPr>
        <w:br w:type="page"/>
      </w:r>
    </w:p>
    <w:p w14:paraId="2241821D" w14:textId="2AEE8CA3" w:rsidR="00E86162" w:rsidRPr="008A06D3" w:rsidRDefault="00711924" w:rsidP="008A06D3">
      <w:pPr>
        <w:pStyle w:val="Titrejaune"/>
      </w:pPr>
      <w:r w:rsidRPr="008A06D3">
        <w:lastRenderedPageBreak/>
        <w:t>RÉFÉRENCES</w:t>
      </w:r>
    </w:p>
    <w:p w14:paraId="46296183" w14:textId="77777777" w:rsidR="00E86162" w:rsidRPr="002020BA" w:rsidRDefault="00E86162">
      <w:pPr>
        <w:jc w:val="both"/>
      </w:pPr>
    </w:p>
    <w:p w14:paraId="3C8EB1B0" w14:textId="77777777" w:rsidR="00E86162" w:rsidRPr="002020BA" w:rsidRDefault="00711924">
      <w:pPr>
        <w:jc w:val="both"/>
      </w:pPr>
      <w:r w:rsidRPr="002020BA">
        <w:rPr>
          <w:b/>
        </w:rPr>
        <w:t>EST ENSEMBLE</w:t>
      </w:r>
      <w:r w:rsidRPr="002020BA">
        <w:t>. (</w:t>
      </w:r>
      <w:proofErr w:type="gramStart"/>
      <w:r w:rsidRPr="002020BA">
        <w:t>s.</w:t>
      </w:r>
      <w:proofErr w:type="gramEnd"/>
      <w:r w:rsidRPr="002020BA">
        <w:t xml:space="preserve"> d.). </w:t>
      </w:r>
      <w:r w:rsidRPr="002020BA">
        <w:rPr>
          <w:i/>
        </w:rPr>
        <w:t>Plan économie circulaire</w:t>
      </w:r>
      <w:r w:rsidRPr="002020BA">
        <w:t>.</w:t>
      </w:r>
    </w:p>
    <w:p w14:paraId="49437146" w14:textId="77777777" w:rsidR="00E86162" w:rsidRPr="002020BA" w:rsidRDefault="00711924">
      <w:pPr>
        <w:jc w:val="both"/>
        <w:rPr>
          <w:color w:val="F2CC26"/>
        </w:rPr>
      </w:pPr>
      <w:r w:rsidRPr="002020BA">
        <w:rPr>
          <w:color w:val="F2CC26"/>
        </w:rPr>
        <w:t>www.est-ensemble.fr/sites/default/files/2019-12-12_plan_economie_circulaire_vf.pdf</w:t>
      </w:r>
    </w:p>
    <w:p w14:paraId="3B5D5715" w14:textId="77777777" w:rsidR="00E86162" w:rsidRPr="002020BA" w:rsidRDefault="00E86162">
      <w:pPr>
        <w:jc w:val="both"/>
      </w:pPr>
    </w:p>
    <w:p w14:paraId="06E29381" w14:textId="5D93BA16" w:rsidR="00E86162" w:rsidRPr="002020BA" w:rsidRDefault="00711924">
      <w:pPr>
        <w:jc w:val="both"/>
      </w:pPr>
      <w:r w:rsidRPr="002020BA">
        <w:rPr>
          <w:b/>
        </w:rPr>
        <w:t>MARTINS</w:t>
      </w:r>
      <w:r w:rsidRPr="002020BA">
        <w:t xml:space="preserve">, J. 2020. </w:t>
      </w:r>
      <w:r w:rsidRPr="002020BA">
        <w:rPr>
          <w:i/>
        </w:rPr>
        <w:t>Un énoncé de vision bien formulé en 7 étapes.</w:t>
      </w:r>
    </w:p>
    <w:p w14:paraId="3D416B4B" w14:textId="77777777" w:rsidR="00E86162" w:rsidRPr="002020BA" w:rsidRDefault="00711924">
      <w:pPr>
        <w:jc w:val="both"/>
        <w:rPr>
          <w:color w:val="F2CC26"/>
        </w:rPr>
      </w:pPr>
      <w:r w:rsidRPr="002020BA">
        <w:rPr>
          <w:color w:val="F2CC26"/>
        </w:rPr>
        <w:t>https://asana.com/fr/resources/vision-statement</w:t>
      </w:r>
    </w:p>
    <w:p w14:paraId="11BDF544" w14:textId="77777777" w:rsidR="00E86162" w:rsidRPr="002020BA" w:rsidRDefault="00E86162">
      <w:pPr>
        <w:jc w:val="both"/>
      </w:pPr>
    </w:p>
    <w:p w14:paraId="3F76DD16" w14:textId="56671DCD" w:rsidR="00E86162" w:rsidRPr="002020BA" w:rsidRDefault="00711924">
      <w:pPr>
        <w:jc w:val="both"/>
        <w:rPr>
          <w:lang w:val="en-US"/>
        </w:rPr>
      </w:pPr>
      <w:r w:rsidRPr="002020BA">
        <w:rPr>
          <w:b/>
        </w:rPr>
        <w:t>ORGANISATION DE COOPÉRATION ET DE DÉVELOPPEMENT ÉCONOMIQUES (OCDE)</w:t>
      </w:r>
      <w:r w:rsidRPr="002020BA">
        <w:t xml:space="preserve">. </w:t>
      </w:r>
      <w:r w:rsidRPr="002020BA">
        <w:rPr>
          <w:lang w:val="en-US"/>
        </w:rPr>
        <w:t xml:space="preserve">2020. </w:t>
      </w:r>
      <w:r w:rsidRPr="002020BA">
        <w:rPr>
          <w:i/>
          <w:lang w:val="en-US"/>
        </w:rPr>
        <w:t>The circular economy in cities and regions: synthesis report.</w:t>
      </w:r>
    </w:p>
    <w:p w14:paraId="4E0C7559" w14:textId="77777777" w:rsidR="00E86162" w:rsidRPr="002020BA" w:rsidRDefault="00711924">
      <w:pPr>
        <w:jc w:val="both"/>
        <w:rPr>
          <w:color w:val="F2CC26"/>
          <w:lang w:val="en-US"/>
        </w:rPr>
      </w:pPr>
      <w:r w:rsidRPr="002020BA">
        <w:rPr>
          <w:color w:val="F2CC26"/>
          <w:lang w:val="en-US"/>
        </w:rPr>
        <w:t>www.oecd-ilibrary.org/sites/10ac6ae4-en/index.html?itemId=/content/publication/10ac6ae4-en</w:t>
      </w:r>
    </w:p>
    <w:sectPr w:rsidR="00E86162" w:rsidRPr="002020BA" w:rsidSect="00FE43F8">
      <w:headerReference w:type="even" r:id="rId13"/>
      <w:headerReference w:type="default" r:id="rId14"/>
      <w:footerReference w:type="even" r:id="rId15"/>
      <w:footerReference w:type="default" r:id="rId16"/>
      <w:headerReference w:type="first" r:id="rId17"/>
      <w:footerReference w:type="first" r:id="rId18"/>
      <w:pgSz w:w="12242" w:h="15842" w:code="1"/>
      <w:pgMar w:top="1134" w:right="1701" w:bottom="1701"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9303B" w14:textId="77777777" w:rsidR="00BC1504" w:rsidRDefault="00BC1504">
      <w:pPr>
        <w:spacing w:line="240" w:lineRule="auto"/>
      </w:pPr>
      <w:r>
        <w:separator/>
      </w:r>
    </w:p>
  </w:endnote>
  <w:endnote w:type="continuationSeparator" w:id="0">
    <w:p w14:paraId="3B239AE7" w14:textId="77777777" w:rsidR="00BC1504" w:rsidRDefault="00BC150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289172198"/>
      <w:docPartObj>
        <w:docPartGallery w:val="Page Numbers (Bottom of Page)"/>
        <w:docPartUnique/>
      </w:docPartObj>
    </w:sdtPr>
    <w:sdtEndPr>
      <w:rPr>
        <w:rStyle w:val="Numrodepage"/>
      </w:rPr>
    </w:sdtEndPr>
    <w:sdtContent>
      <w:p w14:paraId="5B66F2D5" w14:textId="77777777" w:rsidR="00696029" w:rsidRDefault="00696029" w:rsidP="00C07014">
        <w:pPr>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77EAD46" w14:textId="77777777" w:rsidR="00696029" w:rsidRDefault="00696029" w:rsidP="00274BF6">
    <w:pP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765838"/>
      <w:docPartObj>
        <w:docPartGallery w:val="Page Numbers (Bottom of Page)"/>
        <w:docPartUnique/>
      </w:docPartObj>
    </w:sdtPr>
    <w:sdtEndPr>
      <w:rPr>
        <w:noProof/>
      </w:rPr>
    </w:sdtEndPr>
    <w:sdtContent>
      <w:p w14:paraId="6F49B6AF" w14:textId="77777777" w:rsidR="00696029" w:rsidRDefault="00696029">
        <w:r>
          <w:rPr>
            <w:b/>
            <w:noProof/>
            <w:spacing w:val="-24"/>
            <w:sz w:val="40"/>
            <w:szCs w:val="40"/>
          </w:rPr>
          <w:drawing>
            <wp:anchor distT="0" distB="0" distL="114300" distR="114300" simplePos="0" relativeHeight="251659264" behindDoc="0" locked="0" layoutInCell="1" allowOverlap="1" wp14:anchorId="6E3718F5" wp14:editId="52C56085">
              <wp:simplePos x="0" y="0"/>
              <wp:positionH relativeFrom="column">
                <wp:posOffset>6350</wp:posOffset>
              </wp:positionH>
              <wp:positionV relativeFrom="paragraph">
                <wp:posOffset>127231</wp:posOffset>
              </wp:positionV>
              <wp:extent cx="484910" cy="48491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4910" cy="48491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79F2427E" w14:textId="77777777" w:rsidR="00696029" w:rsidRDefault="0069602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7CA1F" w14:textId="19128EE6" w:rsidR="00696029" w:rsidRPr="00696029" w:rsidRDefault="00696029" w:rsidP="00F22B0F">
    <w:pPr>
      <w:pBdr>
        <w:top w:val="nil"/>
        <w:left w:val="nil"/>
        <w:bottom w:val="nil"/>
        <w:right w:val="nil"/>
        <w:between w:val="nil"/>
      </w:pBdr>
      <w:tabs>
        <w:tab w:val="center" w:pos="4320"/>
        <w:tab w:val="right" w:pos="8640"/>
      </w:tabs>
      <w:rPr>
        <w:b/>
        <w:color w:val="F2CC26"/>
        <w:sz w:val="18"/>
        <w:szCs w:val="18"/>
      </w:rPr>
    </w:pPr>
    <w:r w:rsidRPr="00696029">
      <w:rPr>
        <w:b/>
        <w:color w:val="F2CC26"/>
        <w:sz w:val="18"/>
        <w:szCs w:val="18"/>
      </w:rPr>
      <w:t xml:space="preserve">Outil </w:t>
    </w:r>
    <w:r>
      <w:rPr>
        <w:b/>
        <w:color w:val="F2CC26"/>
        <w:sz w:val="18"/>
        <w:szCs w:val="18"/>
      </w:rPr>
      <w:t>3</w:t>
    </w:r>
    <w:r w:rsidRPr="00696029">
      <w:rPr>
        <w:b/>
        <w:color w:val="F2CC26"/>
        <w:sz w:val="18"/>
        <w:szCs w:val="18"/>
      </w:rPr>
      <w:t xml:space="preserve">.1 – </w:t>
    </w:r>
    <w:r>
      <w:rPr>
        <w:b/>
        <w:color w:val="F2CC26"/>
        <w:sz w:val="18"/>
        <w:szCs w:val="18"/>
      </w:rPr>
      <w:t>Aide à la définition de la vision et des orientations stratégiques</w:t>
    </w:r>
  </w:p>
  <w:p w14:paraId="7F21BAA9" w14:textId="38325A31" w:rsidR="00696029" w:rsidRPr="001E01ED" w:rsidRDefault="00696029" w:rsidP="00F22B0F">
    <w:pPr>
      <w:pBdr>
        <w:top w:val="nil"/>
        <w:left w:val="nil"/>
        <w:bottom w:val="nil"/>
        <w:right w:val="nil"/>
        <w:between w:val="nil"/>
      </w:pBdr>
      <w:tabs>
        <w:tab w:val="center" w:pos="4320"/>
        <w:tab w:val="right" w:pos="8640"/>
      </w:tabs>
      <w:rPr>
        <w:b/>
        <w:color w:val="000000" w:themeColor="text1"/>
        <w:sz w:val="18"/>
        <w:szCs w:val="18"/>
      </w:rPr>
    </w:pPr>
    <w:r w:rsidRPr="001E01ED">
      <w:rPr>
        <w:b/>
        <w:color w:val="000000" w:themeColor="text1"/>
        <w:sz w:val="18"/>
        <w:szCs w:val="18"/>
      </w:rPr>
      <w:t xml:space="preserve">Activité </w:t>
    </w:r>
    <w:r>
      <w:rPr>
        <w:b/>
        <w:color w:val="000000" w:themeColor="text1"/>
        <w:sz w:val="18"/>
        <w:szCs w:val="18"/>
      </w:rPr>
      <w:t>3</w:t>
    </w:r>
    <w:r w:rsidRPr="001E01ED">
      <w:rPr>
        <w:b/>
        <w:color w:val="000000" w:themeColor="text1"/>
        <w:sz w:val="18"/>
        <w:szCs w:val="18"/>
      </w:rPr>
      <w:t xml:space="preserve">.1 – </w:t>
    </w:r>
    <w:r>
      <w:rPr>
        <w:b/>
        <w:color w:val="000000" w:themeColor="text1"/>
        <w:sz w:val="18"/>
        <w:szCs w:val="18"/>
      </w:rPr>
      <w:t>Faire la réflexion stratégique</w:t>
    </w:r>
  </w:p>
  <w:p w14:paraId="4C02D676" w14:textId="77777777" w:rsidR="00696029" w:rsidRPr="00880811" w:rsidRDefault="00696029" w:rsidP="00880811">
    <w:pPr>
      <w:spacing w:before="40"/>
      <w:rPr>
        <w:sz w:val="14"/>
        <w:szCs w:val="14"/>
      </w:rPr>
    </w:pPr>
    <w:r w:rsidRPr="00880811">
      <w:rPr>
        <w:sz w:val="14"/>
        <w:szCs w:val="14"/>
      </w:rPr>
      <w:t>Outil produit par RECYC-QUÉBEC, 2022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839CB" w14:textId="77777777" w:rsidR="00E86162" w:rsidRDefault="00E86162">
    <w:pPr>
      <w:pBdr>
        <w:top w:val="nil"/>
        <w:left w:val="nil"/>
        <w:bottom w:val="nil"/>
        <w:right w:val="nil"/>
        <w:between w:val="nil"/>
      </w:pBdr>
      <w:tabs>
        <w:tab w:val="center" w:pos="4320"/>
        <w:tab w:val="right" w:pos="8640"/>
      </w:tabs>
      <w:spacing w:line="240" w:lineRule="auto"/>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A3144" w14:textId="19DA2AFE" w:rsidR="00FE43F8" w:rsidRPr="00FE43F8" w:rsidRDefault="00FE43F8" w:rsidP="00FE43F8">
    <w:pPr>
      <w:pBdr>
        <w:top w:val="nil"/>
        <w:left w:val="nil"/>
        <w:bottom w:val="nil"/>
        <w:right w:val="nil"/>
        <w:between w:val="nil"/>
      </w:pBdr>
      <w:tabs>
        <w:tab w:val="center" w:pos="4320"/>
        <w:tab w:val="right" w:pos="8640"/>
      </w:tabs>
      <w:spacing w:line="240" w:lineRule="auto"/>
      <w:rPr>
        <w:b/>
        <w:color w:val="F2CC26"/>
        <w:sz w:val="16"/>
        <w:szCs w:val="16"/>
      </w:rPr>
    </w:pPr>
    <w:r w:rsidRPr="00FE43F8">
      <w:rPr>
        <w:b/>
        <w:color w:val="F2CC26"/>
        <w:sz w:val="16"/>
        <w:szCs w:val="16"/>
      </w:rPr>
      <w:t xml:space="preserve">Outil </w:t>
    </w:r>
    <w:r>
      <w:rPr>
        <w:b/>
        <w:color w:val="F2CC26"/>
        <w:sz w:val="16"/>
        <w:szCs w:val="16"/>
      </w:rPr>
      <w:t>3</w:t>
    </w:r>
    <w:r w:rsidRPr="00FE43F8">
      <w:rPr>
        <w:b/>
        <w:color w:val="F2CC26"/>
        <w:sz w:val="16"/>
        <w:szCs w:val="16"/>
      </w:rPr>
      <w:t xml:space="preserve">.1 – </w:t>
    </w:r>
    <w:r>
      <w:rPr>
        <w:b/>
        <w:color w:val="F2CC26"/>
        <w:sz w:val="16"/>
        <w:szCs w:val="16"/>
      </w:rPr>
      <w:t>Aide à la définition de la vision et des orientations stratégiques</w:t>
    </w:r>
  </w:p>
  <w:p w14:paraId="15B0D7D8" w14:textId="5B8D8427" w:rsidR="00FE43F8" w:rsidRDefault="00FE43F8" w:rsidP="00FE43F8">
    <w:pPr>
      <w:rPr>
        <w:color w:val="262626"/>
        <w:sz w:val="16"/>
        <w:szCs w:val="16"/>
      </w:rPr>
    </w:pPr>
    <w:r>
      <w:rPr>
        <w:color w:val="262626"/>
        <w:sz w:val="16"/>
        <w:szCs w:val="16"/>
      </w:rPr>
      <w:t>Activité 3.1 – Faire la réflexion stratégique</w:t>
    </w:r>
  </w:p>
  <w:p w14:paraId="5F13BF42" w14:textId="0E00C39A" w:rsidR="00A66CDE" w:rsidRPr="00A66CDE" w:rsidRDefault="00A66CDE" w:rsidP="00A66CDE">
    <w:pPr>
      <w:spacing w:before="40"/>
      <w:rPr>
        <w:sz w:val="14"/>
        <w:szCs w:val="14"/>
      </w:rPr>
    </w:pPr>
    <w:r w:rsidRPr="00880811">
      <w:rPr>
        <w:sz w:val="14"/>
        <w:szCs w:val="14"/>
      </w:rPr>
      <w:t>Outil produit par RECYC-QUÉBEC, 2022</w:t>
    </w:r>
  </w:p>
  <w:p w14:paraId="6705CBBC" w14:textId="3D70A051" w:rsidR="00E86162" w:rsidRPr="00FE43F8" w:rsidRDefault="00FE43F8" w:rsidP="002F6C2A">
    <w:pPr>
      <w:pBdr>
        <w:top w:val="nil"/>
        <w:left w:val="nil"/>
        <w:bottom w:val="nil"/>
        <w:right w:val="nil"/>
        <w:between w:val="nil"/>
      </w:pBdr>
      <w:tabs>
        <w:tab w:val="center" w:pos="4320"/>
        <w:tab w:val="right" w:pos="8640"/>
      </w:tabs>
      <w:ind w:right="-232"/>
      <w:jc w:val="right"/>
      <w:rPr>
        <w:color w:val="262626"/>
      </w:rPr>
    </w:pPr>
    <w:r>
      <w:rPr>
        <w:color w:val="262626"/>
      </w:rPr>
      <w:fldChar w:fldCharType="begin"/>
    </w:r>
    <w:r>
      <w:rPr>
        <w:color w:val="262626"/>
      </w:rPr>
      <w:instrText>PAGE</w:instrText>
    </w:r>
    <w:r>
      <w:rPr>
        <w:color w:val="262626"/>
      </w:rPr>
      <w:fldChar w:fldCharType="separate"/>
    </w:r>
    <w:r>
      <w:rPr>
        <w:color w:val="262626"/>
      </w:rPr>
      <w:t>2</w:t>
    </w:r>
    <w:r>
      <w:rPr>
        <w:color w:val="26262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B4341" w14:textId="77777777" w:rsidR="00E86162" w:rsidRDefault="00E86162">
    <w:pPr>
      <w:pBdr>
        <w:top w:val="nil"/>
        <w:left w:val="nil"/>
        <w:bottom w:val="nil"/>
        <w:right w:val="nil"/>
        <w:between w:val="nil"/>
      </w:pBdr>
      <w:tabs>
        <w:tab w:val="center" w:pos="4320"/>
        <w:tab w:val="right" w:pos="864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44275" w14:textId="77777777" w:rsidR="00BC1504" w:rsidRDefault="00BC1504">
      <w:pPr>
        <w:spacing w:line="240" w:lineRule="auto"/>
      </w:pPr>
      <w:r>
        <w:separator/>
      </w:r>
    </w:p>
  </w:footnote>
  <w:footnote w:type="continuationSeparator" w:id="0">
    <w:p w14:paraId="61763F06" w14:textId="77777777" w:rsidR="00BC1504" w:rsidRDefault="00BC150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8680B" w14:textId="77777777" w:rsidR="00E86162" w:rsidRDefault="00E86162">
    <w:pPr>
      <w:pBdr>
        <w:top w:val="nil"/>
        <w:left w:val="nil"/>
        <w:bottom w:val="nil"/>
        <w:right w:val="nil"/>
        <w:between w:val="nil"/>
      </w:pBdr>
      <w:tabs>
        <w:tab w:val="center" w:pos="4320"/>
        <w:tab w:val="right" w:pos="8640"/>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9B9BC" w14:textId="13432360" w:rsidR="00E86162" w:rsidRDefault="00E86162">
    <w:pPr>
      <w:pBdr>
        <w:top w:val="nil"/>
        <w:left w:val="nil"/>
        <w:bottom w:val="nil"/>
        <w:right w:val="nil"/>
        <w:between w:val="nil"/>
      </w:pBdr>
      <w:tabs>
        <w:tab w:val="center" w:pos="4320"/>
        <w:tab w:val="right" w:pos="8640"/>
      </w:tabs>
      <w:spacing w:line="240" w:lineRule="auto"/>
      <w:rPr>
        <w:color w:val="000000"/>
      </w:rPr>
    </w:pPr>
  </w:p>
  <w:p w14:paraId="2C576087" w14:textId="77777777" w:rsidR="00E86162" w:rsidRDefault="00E86162">
    <w:pPr>
      <w:pBdr>
        <w:top w:val="nil"/>
        <w:left w:val="nil"/>
        <w:bottom w:val="nil"/>
        <w:right w:val="nil"/>
        <w:between w:val="nil"/>
      </w:pBdr>
      <w:tabs>
        <w:tab w:val="center" w:pos="4320"/>
        <w:tab w:val="right" w:pos="8640"/>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B6A8E" w14:textId="77777777" w:rsidR="00E86162" w:rsidRDefault="00E86162">
    <w:pPr>
      <w:pBdr>
        <w:top w:val="nil"/>
        <w:left w:val="nil"/>
        <w:bottom w:val="nil"/>
        <w:right w:val="nil"/>
        <w:between w:val="nil"/>
      </w:pBdr>
      <w:tabs>
        <w:tab w:val="center" w:pos="4320"/>
        <w:tab w:val="right" w:pos="864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C50"/>
    <w:multiLevelType w:val="multilevel"/>
    <w:tmpl w:val="DAAEEC96"/>
    <w:lvl w:ilvl="0">
      <w:start w:val="1"/>
      <w:numFmt w:val="bullet"/>
      <w:lvlText w:val="●"/>
      <w:lvlJc w:val="left"/>
      <w:pPr>
        <w:ind w:left="720" w:hanging="360"/>
      </w:pPr>
      <w:rPr>
        <w:rFonts w:ascii="Noto Sans Symbols" w:eastAsia="Noto Sans Symbols" w:hAnsi="Noto Sans Symbols" w:cs="Noto Sans Symbols"/>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F47CEE"/>
    <w:multiLevelType w:val="hybridMultilevel"/>
    <w:tmpl w:val="20A8230E"/>
    <w:lvl w:ilvl="0" w:tplc="34087FFE">
      <w:start w:val="1"/>
      <w:numFmt w:val="bullet"/>
      <w:lvlText w:val=""/>
      <w:lvlJc w:val="left"/>
      <w:pPr>
        <w:ind w:left="720" w:hanging="360"/>
      </w:pPr>
      <w:rPr>
        <w:rFonts w:ascii="Symbol" w:hAnsi="Symbol" w:hint="default"/>
        <w:color w:val="262626" w:themeColor="text1" w:themeTint="D9"/>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B567F1"/>
    <w:multiLevelType w:val="multilevel"/>
    <w:tmpl w:val="AC9C8844"/>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F13017"/>
    <w:multiLevelType w:val="multilevel"/>
    <w:tmpl w:val="316EC9E4"/>
    <w:lvl w:ilvl="0">
      <w:start w:val="1"/>
      <w:numFmt w:val="decimal"/>
      <w:lvlText w:val="%1."/>
      <w:lvlJc w:val="left"/>
      <w:pPr>
        <w:ind w:left="720" w:hanging="360"/>
      </w:pPr>
      <w:rPr>
        <w:b/>
        <w:i w:val="0"/>
        <w:color w:val="000000"/>
      </w:rPr>
    </w:lvl>
    <w:lvl w:ilvl="1">
      <w:start w:val="1"/>
      <w:numFmt w:val="upp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6380EC7"/>
    <w:multiLevelType w:val="hybridMultilevel"/>
    <w:tmpl w:val="47BEAD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D822FF"/>
    <w:multiLevelType w:val="multilevel"/>
    <w:tmpl w:val="98B27A9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5DA5FB6"/>
    <w:multiLevelType w:val="multilevel"/>
    <w:tmpl w:val="2DD489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CFA1C32"/>
    <w:multiLevelType w:val="multilevel"/>
    <w:tmpl w:val="7E96D710"/>
    <w:lvl w:ilvl="0">
      <w:start w:val="1"/>
      <w:numFmt w:val="bullet"/>
      <w:lvlText w:val="●"/>
      <w:lvlJc w:val="left"/>
      <w:pPr>
        <w:ind w:left="720" w:hanging="360"/>
      </w:pPr>
      <w:rPr>
        <w:rFonts w:ascii="Noto Sans Symbols" w:eastAsia="Noto Sans Symbols" w:hAnsi="Noto Sans Symbols" w:cs="Noto Sans Symbols"/>
        <w:color w:val="262626" w:themeColor="text1" w:themeTint="D9"/>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12612B3"/>
    <w:multiLevelType w:val="multilevel"/>
    <w:tmpl w:val="2E5E2A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F80FAD"/>
    <w:multiLevelType w:val="multilevel"/>
    <w:tmpl w:val="48BE0608"/>
    <w:lvl w:ilvl="0">
      <w:start w:val="1"/>
      <w:numFmt w:val="decimal"/>
      <w:lvlText w:val="%1."/>
      <w:lvlJc w:val="left"/>
      <w:pPr>
        <w:ind w:left="720" w:hanging="360"/>
      </w:pPr>
      <w:rPr>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930015"/>
    <w:multiLevelType w:val="multilevel"/>
    <w:tmpl w:val="AA6ED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72907623">
    <w:abstractNumId w:val="6"/>
  </w:num>
  <w:num w:numId="2" w16cid:durableId="617101621">
    <w:abstractNumId w:val="2"/>
  </w:num>
  <w:num w:numId="3" w16cid:durableId="729771551">
    <w:abstractNumId w:val="0"/>
  </w:num>
  <w:num w:numId="4" w16cid:durableId="1872953477">
    <w:abstractNumId w:val="9"/>
  </w:num>
  <w:num w:numId="5" w16cid:durableId="2018773817">
    <w:abstractNumId w:val="5"/>
  </w:num>
  <w:num w:numId="6" w16cid:durableId="900169247">
    <w:abstractNumId w:val="3"/>
  </w:num>
  <w:num w:numId="7" w16cid:durableId="150561760">
    <w:abstractNumId w:val="8"/>
  </w:num>
  <w:num w:numId="8" w16cid:durableId="694621905">
    <w:abstractNumId w:val="10"/>
  </w:num>
  <w:num w:numId="9" w16cid:durableId="594365798">
    <w:abstractNumId w:val="7"/>
  </w:num>
  <w:num w:numId="10" w16cid:durableId="1391878345">
    <w:abstractNumId w:val="1"/>
  </w:num>
  <w:num w:numId="11" w16cid:durableId="1808547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162"/>
    <w:rsid w:val="00186F90"/>
    <w:rsid w:val="00191EE5"/>
    <w:rsid w:val="001F7E20"/>
    <w:rsid w:val="002020BA"/>
    <w:rsid w:val="002F6C2A"/>
    <w:rsid w:val="00382FB7"/>
    <w:rsid w:val="003F03F0"/>
    <w:rsid w:val="004B703D"/>
    <w:rsid w:val="005940DB"/>
    <w:rsid w:val="005E7C13"/>
    <w:rsid w:val="00696029"/>
    <w:rsid w:val="00711924"/>
    <w:rsid w:val="007630B4"/>
    <w:rsid w:val="00814CFB"/>
    <w:rsid w:val="00880811"/>
    <w:rsid w:val="008A06D3"/>
    <w:rsid w:val="008B64B2"/>
    <w:rsid w:val="008F72EE"/>
    <w:rsid w:val="00906A92"/>
    <w:rsid w:val="00984732"/>
    <w:rsid w:val="00A66CDE"/>
    <w:rsid w:val="00A67E94"/>
    <w:rsid w:val="00BC1504"/>
    <w:rsid w:val="00C74A9B"/>
    <w:rsid w:val="00D81B9F"/>
    <w:rsid w:val="00DC2857"/>
    <w:rsid w:val="00DF4389"/>
    <w:rsid w:val="00E86162"/>
    <w:rsid w:val="00F93FF5"/>
    <w:rsid w:val="00FE43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190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 w:eastAsia="fr-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F8"/>
  </w:style>
  <w:style w:type="paragraph" w:styleId="Titre1">
    <w:name w:val="heading 1"/>
    <w:basedOn w:val="Normal"/>
    <w:next w:val="Normal"/>
    <w:uiPriority w:val="9"/>
    <w:qFormat/>
    <w:pPr>
      <w:keepNext/>
      <w:keepLines/>
      <w:spacing w:before="400" w:after="120"/>
      <w:outlineLvl w:val="0"/>
    </w:pPr>
    <w:rPr>
      <w:sz w:val="40"/>
      <w:szCs w:val="40"/>
    </w:rPr>
  </w:style>
  <w:style w:type="paragraph" w:styleId="Titre2">
    <w:name w:val="heading 2"/>
    <w:basedOn w:val="Normal"/>
    <w:next w:val="Normal"/>
    <w:uiPriority w:val="9"/>
    <w:semiHidden/>
    <w:unhideWhenUsed/>
    <w:qFormat/>
    <w:pPr>
      <w:keepNext/>
      <w:keepLines/>
      <w:spacing w:before="360" w:after="120"/>
      <w:outlineLvl w:val="1"/>
    </w:pPr>
    <w:rPr>
      <w:sz w:val="32"/>
      <w:szCs w:val="32"/>
    </w:rPr>
  </w:style>
  <w:style w:type="paragraph" w:styleId="Titre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itre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itre5">
    <w:name w:val="heading 5"/>
    <w:basedOn w:val="Normal"/>
    <w:next w:val="Normal"/>
    <w:uiPriority w:val="9"/>
    <w:semiHidden/>
    <w:unhideWhenUsed/>
    <w:qFormat/>
    <w:pPr>
      <w:keepNext/>
      <w:keepLines/>
      <w:spacing w:before="240" w:after="80"/>
      <w:outlineLvl w:val="4"/>
    </w:pPr>
    <w:rPr>
      <w:color w:val="666666"/>
    </w:rPr>
  </w:style>
  <w:style w:type="paragraph" w:styleId="Titre6">
    <w:name w:val="heading 6"/>
    <w:basedOn w:val="Normal"/>
    <w:next w:val="Normal"/>
    <w:uiPriority w:val="9"/>
    <w:semiHidden/>
    <w:unhideWhenUsed/>
    <w:qFormat/>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ous-titre">
    <w:name w:val="Subtitle"/>
    <w:basedOn w:val="Normal"/>
    <w:next w:val="Normal"/>
    <w:uiPriority w:val="11"/>
    <w:qFormat/>
    <w:pPr>
      <w:keepNext/>
      <w:keepLines/>
      <w:spacing w:after="320"/>
    </w:pPr>
    <w:rPr>
      <w:color w:val="666666"/>
      <w:sz w:val="30"/>
      <w:szCs w:val="30"/>
    </w:rPr>
  </w:style>
  <w:style w:type="table" w:customStyle="1" w:styleId="a">
    <w:basedOn w:val="TableNormal4"/>
    <w:tblPr>
      <w:tblStyleRowBandSize w:val="1"/>
      <w:tblStyleColBandSize w:val="1"/>
      <w:tblCellMar>
        <w:top w:w="100" w:type="dxa"/>
        <w:left w:w="100" w:type="dxa"/>
        <w:bottom w:w="100" w:type="dxa"/>
        <w:right w:w="100" w:type="dxa"/>
      </w:tblCellMar>
    </w:tblPr>
  </w:style>
  <w:style w:type="table" w:customStyle="1" w:styleId="a0">
    <w:basedOn w:val="TableNormal4"/>
    <w:tblPr>
      <w:tblStyleRowBandSize w:val="1"/>
      <w:tblStyleColBandSize w:val="1"/>
      <w:tblCellMar>
        <w:top w:w="100" w:type="dxa"/>
        <w:left w:w="100" w:type="dxa"/>
        <w:bottom w:w="100" w:type="dxa"/>
        <w:right w:w="100" w:type="dxa"/>
      </w:tblCellMar>
    </w:tblPr>
  </w:style>
  <w:style w:type="table" w:customStyle="1" w:styleId="a1">
    <w:basedOn w:val="TableNormal4"/>
    <w:tblPr>
      <w:tblStyleRowBandSize w:val="1"/>
      <w:tblStyleColBandSize w:val="1"/>
      <w:tblCellMar>
        <w:top w:w="100" w:type="dxa"/>
        <w:left w:w="100" w:type="dxa"/>
        <w:bottom w:w="100" w:type="dxa"/>
        <w:right w:w="100" w:type="dxa"/>
      </w:tblCellMar>
    </w:tblPr>
  </w:style>
  <w:style w:type="paragraph" w:styleId="Commentaire">
    <w:name w:val="annotation text"/>
    <w:basedOn w:val="Normal"/>
    <w:link w:val="CommentaireCar"/>
    <w:uiPriority w:val="99"/>
    <w:unhideWhenUsed/>
    <w:pPr>
      <w:spacing w:line="240" w:lineRule="auto"/>
    </w:pPr>
    <w:rPr>
      <w:sz w:val="20"/>
      <w:szCs w:val="20"/>
    </w:rPr>
  </w:style>
  <w:style w:type="character" w:customStyle="1" w:styleId="CommentaireCar">
    <w:name w:val="Commentaire Car"/>
    <w:basedOn w:val="Policepardfaut"/>
    <w:link w:val="Commentaire"/>
    <w:uiPriority w:val="99"/>
    <w:rPr>
      <w:sz w:val="20"/>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112FD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12FD0"/>
    <w:rPr>
      <w:rFonts w:ascii="Segoe UI" w:hAnsi="Segoe UI" w:cs="Segoe UI"/>
      <w:sz w:val="18"/>
      <w:szCs w:val="18"/>
    </w:rPr>
  </w:style>
  <w:style w:type="paragraph" w:styleId="En-tte">
    <w:name w:val="header"/>
    <w:basedOn w:val="Normal"/>
    <w:link w:val="En-tteCar"/>
    <w:uiPriority w:val="99"/>
    <w:unhideWhenUsed/>
    <w:rsid w:val="00112FD0"/>
    <w:pPr>
      <w:tabs>
        <w:tab w:val="center" w:pos="4320"/>
        <w:tab w:val="right" w:pos="8640"/>
      </w:tabs>
      <w:spacing w:line="240" w:lineRule="auto"/>
    </w:pPr>
  </w:style>
  <w:style w:type="character" w:customStyle="1" w:styleId="En-tteCar">
    <w:name w:val="En-tête Car"/>
    <w:basedOn w:val="Policepardfaut"/>
    <w:link w:val="En-tte"/>
    <w:uiPriority w:val="99"/>
    <w:rsid w:val="00112FD0"/>
  </w:style>
  <w:style w:type="paragraph" w:styleId="Pieddepage">
    <w:name w:val="footer"/>
    <w:basedOn w:val="Normal"/>
    <w:link w:val="PieddepageCar"/>
    <w:uiPriority w:val="99"/>
    <w:unhideWhenUsed/>
    <w:rsid w:val="00112FD0"/>
    <w:pPr>
      <w:tabs>
        <w:tab w:val="center" w:pos="4320"/>
        <w:tab w:val="right" w:pos="8640"/>
      </w:tabs>
      <w:spacing w:line="240" w:lineRule="auto"/>
    </w:pPr>
  </w:style>
  <w:style w:type="character" w:customStyle="1" w:styleId="PieddepageCar">
    <w:name w:val="Pied de page Car"/>
    <w:basedOn w:val="Policepardfaut"/>
    <w:link w:val="Pieddepage"/>
    <w:uiPriority w:val="99"/>
    <w:rsid w:val="00112FD0"/>
  </w:style>
  <w:style w:type="table" w:styleId="Grilledutableau">
    <w:name w:val="Table Grid"/>
    <w:basedOn w:val="TableauNormal"/>
    <w:uiPriority w:val="39"/>
    <w:rsid w:val="00112FD0"/>
    <w:pPr>
      <w:spacing w:line="240" w:lineRule="auto"/>
      <w:jc w:val="both"/>
    </w:pPr>
    <w:rPr>
      <w:rFonts w:ascii="Lato" w:eastAsia="Lato" w:hAnsi="Lato" w:cs="La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12FD0"/>
    <w:pPr>
      <w:ind w:left="720"/>
      <w:contextualSpacing/>
    </w:pPr>
  </w:style>
  <w:style w:type="paragraph" w:styleId="Objetducommentaire">
    <w:name w:val="annotation subject"/>
    <w:basedOn w:val="Commentaire"/>
    <w:next w:val="Commentaire"/>
    <w:link w:val="ObjetducommentaireCar"/>
    <w:uiPriority w:val="99"/>
    <w:semiHidden/>
    <w:unhideWhenUsed/>
    <w:rsid w:val="00112FD0"/>
    <w:rPr>
      <w:b/>
      <w:bCs/>
    </w:rPr>
  </w:style>
  <w:style w:type="character" w:customStyle="1" w:styleId="ObjetducommentaireCar">
    <w:name w:val="Objet du commentaire Car"/>
    <w:basedOn w:val="CommentaireCar"/>
    <w:link w:val="Objetducommentaire"/>
    <w:uiPriority w:val="99"/>
    <w:semiHidden/>
    <w:rsid w:val="00112FD0"/>
    <w:rPr>
      <w:b/>
      <w:bCs/>
      <w:sz w:val="20"/>
      <w:szCs w:val="20"/>
    </w:rPr>
  </w:style>
  <w:style w:type="character" w:styleId="Textedelespacerserv">
    <w:name w:val="Placeholder Text"/>
    <w:basedOn w:val="Policepardfaut"/>
    <w:uiPriority w:val="99"/>
    <w:semiHidden/>
    <w:rsid w:val="00112FD0"/>
    <w:rPr>
      <w:color w:val="808080"/>
    </w:rPr>
  </w:style>
  <w:style w:type="character" w:styleId="Lienhypertexte">
    <w:name w:val="Hyperlink"/>
    <w:basedOn w:val="Policepardfaut"/>
    <w:uiPriority w:val="99"/>
    <w:unhideWhenUsed/>
    <w:rsid w:val="00112FD0"/>
    <w:rPr>
      <w:color w:val="0000FF" w:themeColor="hyperlink"/>
      <w:u w:val="single"/>
    </w:rPr>
  </w:style>
  <w:style w:type="character" w:customStyle="1" w:styleId="normaltextrun">
    <w:name w:val="normaltextrun"/>
    <w:basedOn w:val="Policepardfaut"/>
    <w:rsid w:val="00842A89"/>
  </w:style>
  <w:style w:type="character" w:customStyle="1" w:styleId="Mentionnonrsolue1">
    <w:name w:val="Mention non résolue1"/>
    <w:basedOn w:val="Policepardfaut"/>
    <w:uiPriority w:val="99"/>
    <w:semiHidden/>
    <w:unhideWhenUsed/>
    <w:rsid w:val="000D7D83"/>
    <w:rPr>
      <w:color w:val="605E5C"/>
      <w:shd w:val="clear" w:color="auto" w:fill="E1DFDD"/>
    </w:rPr>
  </w:style>
  <w:style w:type="table" w:customStyle="1" w:styleId="a2">
    <w:basedOn w:val="TableNormal4"/>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3">
    <w:basedOn w:val="TableNormal4"/>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4">
    <w:basedOn w:val="TableNormal4"/>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5">
    <w:basedOn w:val="TableNormal4"/>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table" w:customStyle="1" w:styleId="a6">
    <w:basedOn w:val="TableNormal4"/>
    <w:tblPr>
      <w:tblStyleRowBandSize w:val="1"/>
      <w:tblStyleColBandSize w:val="1"/>
      <w:tblCellMar>
        <w:left w:w="115" w:type="dxa"/>
        <w:right w:w="115" w:type="dxa"/>
      </w:tblCellMar>
    </w:tblPr>
  </w:style>
  <w:style w:type="table" w:customStyle="1" w:styleId="a7">
    <w:basedOn w:val="TableNormal4"/>
    <w:tblPr>
      <w:tblStyleRowBandSize w:val="1"/>
      <w:tblStyleColBandSize w:val="1"/>
      <w:tblCellMar>
        <w:left w:w="115" w:type="dxa"/>
        <w:right w:w="115" w:type="dxa"/>
      </w:tblCellMar>
    </w:tblPr>
  </w:style>
  <w:style w:type="table" w:customStyle="1" w:styleId="a8">
    <w:basedOn w:val="TableNormal4"/>
    <w:tblPr>
      <w:tblStyleRowBandSize w:val="1"/>
      <w:tblStyleColBandSize w:val="1"/>
      <w:tblCellMar>
        <w:left w:w="115" w:type="dxa"/>
        <w:right w:w="115" w:type="dxa"/>
      </w:tblCellMar>
    </w:tblPr>
  </w:style>
  <w:style w:type="table" w:customStyle="1" w:styleId="a9">
    <w:basedOn w:val="TableNormal4"/>
    <w:pPr>
      <w:spacing w:line="240" w:lineRule="auto"/>
      <w:jc w:val="both"/>
    </w:pPr>
    <w:rPr>
      <w:rFonts w:ascii="Lato" w:eastAsia="Lato" w:hAnsi="Lato" w:cs="Lato"/>
      <w:sz w:val="20"/>
      <w:szCs w:val="20"/>
    </w:rPr>
    <w:tblPr>
      <w:tblStyleRowBandSize w:val="1"/>
      <w:tblStyleColBandSize w:val="1"/>
      <w:tblCellMar>
        <w:left w:w="108" w:type="dxa"/>
        <w:right w:w="108" w:type="dxa"/>
      </w:tblCellMar>
    </w:tblPr>
  </w:style>
  <w:style w:type="paragraph" w:styleId="Rvision">
    <w:name w:val="Revision"/>
    <w:hidden/>
    <w:uiPriority w:val="99"/>
    <w:semiHidden/>
    <w:rsid w:val="002C6BFD"/>
    <w:pPr>
      <w:spacing w:line="240" w:lineRule="auto"/>
    </w:pPr>
  </w:style>
  <w:style w:type="table" w:customStyle="1" w:styleId="aa">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b">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c">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d">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e">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0">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1">
    <w:basedOn w:val="TableNormal3"/>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2">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3">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4">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5">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6">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7">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8">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9">
    <w:basedOn w:val="TableNormal2"/>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a">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b">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c">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d">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e">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0">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1">
    <w:basedOn w:val="TableNormal1"/>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2">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3">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4">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5">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6">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7">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8">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table" w:customStyle="1" w:styleId="aff9">
    <w:basedOn w:val="TableNormal0"/>
    <w:pPr>
      <w:spacing w:line="240" w:lineRule="auto"/>
      <w:jc w:val="both"/>
    </w:pPr>
    <w:rPr>
      <w:rFonts w:ascii="Lato" w:eastAsia="Lato" w:hAnsi="Lato" w:cs="Lato"/>
      <w:sz w:val="20"/>
      <w:szCs w:val="20"/>
    </w:rPr>
    <w:tblPr>
      <w:tblStyleRowBandSize w:val="1"/>
      <w:tblStyleColBandSize w:val="1"/>
      <w:tblCellMar>
        <w:top w:w="100" w:type="dxa"/>
        <w:left w:w="108" w:type="dxa"/>
        <w:bottom w:w="100" w:type="dxa"/>
        <w:right w:w="108" w:type="dxa"/>
      </w:tblCellMar>
    </w:tblPr>
  </w:style>
  <w:style w:type="paragraph" w:customStyle="1" w:styleId="tape-Titre">
    <w:name w:val="Étape - Titre"/>
    <w:basedOn w:val="Normal"/>
    <w:qFormat/>
    <w:rsid w:val="00696029"/>
    <w:pPr>
      <w:widowControl w:val="0"/>
      <w:autoSpaceDE w:val="0"/>
      <w:autoSpaceDN w:val="0"/>
      <w:spacing w:line="240" w:lineRule="auto"/>
    </w:pPr>
    <w:rPr>
      <w:b/>
      <w:bCs/>
      <w:color w:val="FFFFFF" w:themeColor="background1"/>
      <w:spacing w:val="-24"/>
      <w:sz w:val="40"/>
      <w:szCs w:val="40"/>
      <w:lang w:val="fr-FR" w:eastAsia="en-US"/>
    </w:rPr>
  </w:style>
  <w:style w:type="paragraph" w:customStyle="1" w:styleId="Titrecouverture">
    <w:name w:val="Titre_couverture"/>
    <w:basedOn w:val="Normal"/>
    <w:qFormat/>
    <w:rsid w:val="00696029"/>
    <w:pPr>
      <w:widowControl w:val="0"/>
      <w:autoSpaceDE w:val="0"/>
      <w:autoSpaceDN w:val="0"/>
      <w:spacing w:before="840" w:after="840" w:line="240" w:lineRule="auto"/>
    </w:pPr>
    <w:rPr>
      <w:b/>
      <w:bCs/>
      <w:color w:val="FFFFFF" w:themeColor="background1"/>
      <w:sz w:val="72"/>
      <w:szCs w:val="72"/>
      <w:lang w:val="fr-FR" w:eastAsia="en-US"/>
    </w:rPr>
  </w:style>
  <w:style w:type="paragraph" w:customStyle="1" w:styleId="Activitetsous-activit-Titre">
    <w:name w:val="Activité et sous-activité - Titre"/>
    <w:basedOn w:val="Normal"/>
    <w:qFormat/>
    <w:rsid w:val="00696029"/>
    <w:pPr>
      <w:widowControl w:val="0"/>
      <w:autoSpaceDE w:val="0"/>
      <w:autoSpaceDN w:val="0"/>
      <w:spacing w:after="360" w:line="240" w:lineRule="auto"/>
    </w:pPr>
    <w:rPr>
      <w:b/>
      <w:bCs/>
      <w:color w:val="FFFFFF" w:themeColor="background1"/>
      <w:sz w:val="40"/>
      <w:szCs w:val="40"/>
      <w:lang w:val="fr-FR" w:eastAsia="en-US"/>
    </w:rPr>
  </w:style>
  <w:style w:type="character" w:styleId="Numrodepage">
    <w:name w:val="page number"/>
    <w:basedOn w:val="Policepardfaut"/>
    <w:uiPriority w:val="99"/>
    <w:semiHidden/>
    <w:unhideWhenUsed/>
    <w:rsid w:val="00696029"/>
  </w:style>
  <w:style w:type="paragraph" w:customStyle="1" w:styleId="Tableautitre">
    <w:name w:val="Tableau_titre"/>
    <w:basedOn w:val="Normal"/>
    <w:qFormat/>
    <w:rsid w:val="00696029"/>
    <w:pPr>
      <w:widowControl w:val="0"/>
      <w:autoSpaceDE w:val="0"/>
      <w:autoSpaceDN w:val="0"/>
      <w:spacing w:line="240" w:lineRule="auto"/>
    </w:pPr>
    <w:rPr>
      <w:b/>
      <w:bCs/>
      <w:sz w:val="20"/>
      <w:szCs w:val="20"/>
      <w:lang w:val="fr-FR" w:eastAsia="en-US"/>
    </w:rPr>
  </w:style>
  <w:style w:type="paragraph" w:customStyle="1" w:styleId="Titrejaune">
    <w:name w:val="Titre_jaune"/>
    <w:basedOn w:val="Normal"/>
    <w:qFormat/>
    <w:rsid w:val="00DC2857"/>
    <w:pPr>
      <w:widowControl w:val="0"/>
      <w:autoSpaceDE w:val="0"/>
      <w:autoSpaceDN w:val="0"/>
      <w:spacing w:line="240" w:lineRule="auto"/>
    </w:pPr>
    <w:rPr>
      <w:b/>
      <w:bCs/>
      <w:color w:val="F2CC26"/>
      <w:sz w:val="56"/>
      <w:szCs w:val="56"/>
      <w:lang w:val="fr-FR" w:eastAsia="en-US"/>
    </w:rPr>
  </w:style>
  <w:style w:type="paragraph" w:customStyle="1" w:styleId="Soustitre">
    <w:name w:val="Soustitre"/>
    <w:basedOn w:val="Normal"/>
    <w:qFormat/>
    <w:rsid w:val="00DC2857"/>
    <w:pPr>
      <w:widowControl w:val="0"/>
      <w:autoSpaceDE w:val="0"/>
      <w:autoSpaceDN w:val="0"/>
      <w:spacing w:before="360" w:after="360" w:line="240" w:lineRule="auto"/>
    </w:pPr>
    <w:rPr>
      <w:b/>
      <w:bCs/>
      <w:cap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Xnn+RPweunA7DOAYL2olYVRg0Q==">AMUW2mVQrgadgcMaI/XqJkahULZG5brA4PsU22zu6fza7h1uopdBSaupTb9xHq/moehPR6he1wQONobXExVH5l2q4sEPzbLRpFH7tNsoyR4ahvKwNZ1R1vq1E0FnZ2Wmu39EZP8H3F48MU+jLBQl6f/6uVqNz8iqOsTfhAXCw8BJY/AoX6Xo6rA=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DCF9DEBA-15DB-4A46-BE1D-F5E4A69E8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1370</Words>
  <Characters>7539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2022-05-04T19:15:00Z</dcterms:created>
  <dcterms:modified xsi:type="dcterms:W3CDTF">2022-06-07T21:17:00Z</dcterms:modified>
</cp:coreProperties>
</file>